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6D190199" w:rsidR="00671E08" w:rsidRPr="0032290A" w:rsidRDefault="00725A55" w:rsidP="00671E08">
      <w:pPr>
        <w:rPr>
          <w:rFonts w:cstheme="minorHAnsi"/>
          <w:b/>
          <w:bCs/>
          <w:noProof/>
          <w:sz w:val="32"/>
          <w:szCs w:val="32"/>
        </w:rPr>
      </w:pPr>
      <w:r w:rsidRPr="0032290A">
        <w:rPr>
          <w:rFonts w:cstheme="minorHAnsi"/>
          <w:b/>
          <w:bCs/>
          <w:i/>
          <w:iCs/>
          <w:noProof/>
          <w:sz w:val="32"/>
          <w:szCs w:val="32"/>
        </w:rPr>
        <w:t>Quercus robur</w:t>
      </w:r>
      <w:r w:rsidR="00671E08" w:rsidRPr="0032290A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32290A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32290A">
        <w:rPr>
          <w:rFonts w:cstheme="minorHAnsi"/>
          <w:b/>
          <w:bCs/>
          <w:noProof/>
          <w:sz w:val="32"/>
          <w:szCs w:val="32"/>
        </w:rPr>
        <w:t>Stiel-Eiche</w:t>
      </w:r>
    </w:p>
    <w:p w14:paraId="5C73A51D" w14:textId="25B50C90" w:rsidR="00671E08" w:rsidRPr="000A22EA" w:rsidRDefault="007B3EE2" w:rsidP="00671E08">
      <w:pPr>
        <w:rPr>
          <w:rFonts w:cstheme="minorHAnsi"/>
          <w:noProof/>
          <w:sz w:val="24"/>
          <w:szCs w:val="24"/>
        </w:rPr>
      </w:pPr>
      <w:r w:rsidRPr="000A22EA">
        <w:rPr>
          <w:rFonts w:cstheme="minorHAnsi"/>
          <w:noProof/>
          <w:sz w:val="24"/>
          <w:szCs w:val="24"/>
        </w:rPr>
        <w:t>[</w:t>
      </w:r>
      <w:r w:rsidR="00725A55" w:rsidRPr="000A22EA">
        <w:rPr>
          <w:rFonts w:cstheme="minorHAnsi"/>
          <w:noProof/>
          <w:sz w:val="24"/>
          <w:szCs w:val="24"/>
        </w:rPr>
        <w:t>Fagaceae, Buchengewächse</w:t>
      </w:r>
      <w:r w:rsidR="00671E08" w:rsidRPr="000A22EA">
        <w:rPr>
          <w:rFonts w:cstheme="minorHAnsi"/>
          <w:noProof/>
          <w:sz w:val="24"/>
          <w:szCs w:val="24"/>
        </w:rPr>
        <w:t>]</w:t>
      </w:r>
    </w:p>
    <w:p w14:paraId="18EDAAA2" w14:textId="77777777" w:rsidR="00EB73F4" w:rsidRPr="0032290A" w:rsidRDefault="00EB73F4" w:rsidP="00671E08">
      <w:pPr>
        <w:rPr>
          <w:rFonts w:cstheme="minorHAnsi"/>
          <w:noProof/>
          <w:sz w:val="24"/>
          <w:szCs w:val="24"/>
        </w:rPr>
      </w:pPr>
    </w:p>
    <w:p w14:paraId="0413B947" w14:textId="5D50B556" w:rsidR="00671E08" w:rsidRPr="0032290A" w:rsidRDefault="001105AF" w:rsidP="001105AF">
      <w:pPr>
        <w:jc w:val="center"/>
        <w:rPr>
          <w:rFonts w:cstheme="minorHAnsi"/>
          <w:noProof/>
        </w:rPr>
      </w:pPr>
      <w:r w:rsidRPr="0032290A">
        <w:rPr>
          <w:rFonts w:cstheme="minorHAnsi"/>
          <w:noProof/>
        </w:rPr>
        <w:drawing>
          <wp:inline distT="0" distB="0" distL="0" distR="0" wp14:anchorId="114D33BA" wp14:editId="751CBBEB">
            <wp:extent cx="2532559" cy="1980000"/>
            <wp:effectExtent l="0" t="0" r="1270" b="1270"/>
            <wp:docPr id="453555811" name="Grafik 1" descr="Ein Bild, das draußen, Eiche, Eichel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555811" name="Grafik 1" descr="Ein Bild, das draußen, Eiche, Eichel, Baum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29" r="16519" b="14921"/>
                    <a:stretch/>
                  </pic:blipFill>
                  <pic:spPr bwMode="auto">
                    <a:xfrm>
                      <a:off x="0" y="0"/>
                      <a:ext cx="2532559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2290A">
        <w:rPr>
          <w:rFonts w:cstheme="minorHAnsi"/>
          <w:noProof/>
        </w:rPr>
        <w:t xml:space="preserve">   </w:t>
      </w:r>
      <w:r w:rsidR="007F1D86" w:rsidRPr="0032290A">
        <w:rPr>
          <w:rFonts w:cstheme="minorHAnsi"/>
          <w:noProof/>
        </w:rPr>
        <w:drawing>
          <wp:inline distT="0" distB="0" distL="0" distR="0" wp14:anchorId="3193F7A9" wp14:editId="642EFEBB">
            <wp:extent cx="2867382" cy="1980000"/>
            <wp:effectExtent l="0" t="0" r="9525" b="1270"/>
            <wp:docPr id="317952832" name="Grafik 2" descr="Ein Bild, das Pflanze, draußen, Baum, Zwei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952832" name="Grafik 2" descr="Ein Bild, das Pflanze, draußen, Baum, Zweig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03" t="9675" r="19018" b="24139"/>
                    <a:stretch/>
                  </pic:blipFill>
                  <pic:spPr bwMode="auto">
                    <a:xfrm>
                      <a:off x="0" y="0"/>
                      <a:ext cx="2867382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D28DA7" w14:textId="77777777" w:rsidR="001105AF" w:rsidRPr="0032290A" w:rsidRDefault="001105AF" w:rsidP="001105AF">
      <w:pPr>
        <w:jc w:val="center"/>
        <w:rPr>
          <w:rFonts w:cstheme="minorHAnsi"/>
          <w:noProof/>
          <w:sz w:val="24"/>
          <w:szCs w:val="24"/>
        </w:rPr>
      </w:pPr>
    </w:p>
    <w:p w14:paraId="5770D9A8" w14:textId="63F61C1A" w:rsidR="00214075" w:rsidRPr="0032290A" w:rsidRDefault="00671E08" w:rsidP="0032290A">
      <w:pPr>
        <w:spacing w:after="0"/>
        <w:rPr>
          <w:rFonts w:cstheme="minorHAnsi"/>
          <w:noProof/>
          <w:sz w:val="24"/>
          <w:szCs w:val="24"/>
        </w:rPr>
      </w:pPr>
      <w:r w:rsidRPr="0032290A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32290A">
        <w:rPr>
          <w:rFonts w:cstheme="minorHAnsi"/>
          <w:noProof/>
          <w:sz w:val="24"/>
          <w:szCs w:val="24"/>
        </w:rPr>
        <w:t xml:space="preserve"> </w:t>
      </w:r>
      <w:r w:rsidR="00C33EA9" w:rsidRPr="0032290A">
        <w:rPr>
          <w:rFonts w:cstheme="minorHAnsi"/>
          <w:noProof/>
          <w:sz w:val="24"/>
          <w:szCs w:val="24"/>
        </w:rPr>
        <w:t xml:space="preserve">Dieser holzige Makrophanerophyt erreicht eine Höhe von </w:t>
      </w:r>
      <w:r w:rsidR="00FD610B" w:rsidRPr="0032290A">
        <w:rPr>
          <w:rFonts w:cstheme="minorHAnsi"/>
          <w:noProof/>
          <w:sz w:val="24"/>
          <w:szCs w:val="24"/>
        </w:rPr>
        <w:t>15-40(45)</w:t>
      </w:r>
      <w:r w:rsidR="006B4678" w:rsidRPr="0032290A">
        <w:rPr>
          <w:rFonts w:cstheme="minorHAnsi"/>
          <w:noProof/>
          <w:sz w:val="24"/>
          <w:szCs w:val="24"/>
        </w:rPr>
        <w:t xml:space="preserve"> </w:t>
      </w:r>
      <w:r w:rsidR="00FD610B" w:rsidRPr="0032290A">
        <w:rPr>
          <w:rFonts w:cstheme="minorHAnsi"/>
          <w:noProof/>
          <w:sz w:val="24"/>
          <w:szCs w:val="24"/>
        </w:rPr>
        <w:t>m</w:t>
      </w:r>
      <w:r w:rsidR="00C33EA9" w:rsidRPr="0032290A">
        <w:rPr>
          <w:rFonts w:cstheme="minorHAnsi"/>
          <w:noProof/>
          <w:sz w:val="24"/>
          <w:szCs w:val="24"/>
        </w:rPr>
        <w:t xml:space="preserve"> und ein Höchstalter von</w:t>
      </w:r>
      <w:r w:rsidR="00FD610B" w:rsidRPr="0032290A">
        <w:rPr>
          <w:rFonts w:cstheme="minorHAnsi"/>
          <w:noProof/>
          <w:sz w:val="24"/>
          <w:szCs w:val="24"/>
        </w:rPr>
        <w:t xml:space="preserve"> 500-800 Jahren.</w:t>
      </w:r>
    </w:p>
    <w:p w14:paraId="5CFB1523" w14:textId="73A0F58C" w:rsidR="002B48F0" w:rsidRPr="0032290A" w:rsidRDefault="00B8586E" w:rsidP="0032290A">
      <w:pPr>
        <w:spacing w:after="0"/>
        <w:rPr>
          <w:rFonts w:cstheme="minorHAnsi"/>
          <w:noProof/>
          <w:sz w:val="24"/>
          <w:szCs w:val="24"/>
        </w:rPr>
      </w:pPr>
      <w:r w:rsidRPr="0032290A">
        <w:rPr>
          <w:rFonts w:cstheme="minorHAnsi"/>
          <w:noProof/>
          <w:sz w:val="24"/>
          <w:szCs w:val="24"/>
        </w:rPr>
        <w:t xml:space="preserve">Die Stieleiche hat in der </w:t>
      </w:r>
      <w:r w:rsidR="006523F4" w:rsidRPr="0032290A">
        <w:rPr>
          <w:rFonts w:cstheme="minorHAnsi"/>
          <w:noProof/>
          <w:sz w:val="24"/>
          <w:szCs w:val="24"/>
        </w:rPr>
        <w:t>J</w:t>
      </w:r>
      <w:r w:rsidRPr="0032290A">
        <w:rPr>
          <w:rFonts w:cstheme="minorHAnsi"/>
          <w:noProof/>
          <w:sz w:val="24"/>
          <w:szCs w:val="24"/>
        </w:rPr>
        <w:t>ugend eine graugrün</w:t>
      </w:r>
      <w:r w:rsidR="006523F4" w:rsidRPr="0032290A">
        <w:rPr>
          <w:rFonts w:cstheme="minorHAnsi"/>
          <w:noProof/>
          <w:sz w:val="24"/>
          <w:szCs w:val="24"/>
        </w:rPr>
        <w:t>-glänzende</w:t>
      </w:r>
      <w:r w:rsidRPr="0032290A">
        <w:rPr>
          <w:rFonts w:cstheme="minorHAnsi"/>
          <w:noProof/>
          <w:sz w:val="24"/>
          <w:szCs w:val="24"/>
        </w:rPr>
        <w:t xml:space="preserve"> Rinde und später dann ei</w:t>
      </w:r>
      <w:r w:rsidR="006523F4" w:rsidRPr="0032290A">
        <w:rPr>
          <w:rFonts w:cstheme="minorHAnsi"/>
          <w:noProof/>
          <w:sz w:val="24"/>
          <w:szCs w:val="24"/>
        </w:rPr>
        <w:t>ne tief</w:t>
      </w:r>
      <w:r w:rsidR="00C15999" w:rsidRPr="0032290A">
        <w:rPr>
          <w:rFonts w:cstheme="minorHAnsi"/>
          <w:noProof/>
          <w:sz w:val="24"/>
          <w:szCs w:val="24"/>
        </w:rPr>
        <w:t>-</w:t>
      </w:r>
      <w:r w:rsidR="006523F4" w:rsidRPr="0032290A">
        <w:rPr>
          <w:rFonts w:cstheme="minorHAnsi"/>
          <w:noProof/>
          <w:sz w:val="24"/>
          <w:szCs w:val="24"/>
        </w:rPr>
        <w:t xml:space="preserve">längsrissige braune Borke. </w:t>
      </w:r>
      <w:r w:rsidR="000A72B3" w:rsidRPr="0032290A">
        <w:rPr>
          <w:rFonts w:cstheme="minorHAnsi"/>
          <w:noProof/>
          <w:sz w:val="24"/>
          <w:szCs w:val="24"/>
        </w:rPr>
        <w:t>Die j</w:t>
      </w:r>
      <w:r w:rsidR="002A1D96" w:rsidRPr="0032290A">
        <w:rPr>
          <w:rFonts w:cstheme="minorHAnsi"/>
          <w:noProof/>
          <w:sz w:val="24"/>
          <w:szCs w:val="24"/>
        </w:rPr>
        <w:t>unge Äste</w:t>
      </w:r>
      <w:r w:rsidR="000A72B3" w:rsidRPr="0032290A">
        <w:rPr>
          <w:rFonts w:cstheme="minorHAnsi"/>
          <w:noProof/>
          <w:sz w:val="24"/>
          <w:szCs w:val="24"/>
        </w:rPr>
        <w:t xml:space="preserve"> sind</w:t>
      </w:r>
      <w:r w:rsidR="002A1D96" w:rsidRPr="0032290A">
        <w:rPr>
          <w:rFonts w:cstheme="minorHAnsi"/>
          <w:noProof/>
          <w:sz w:val="24"/>
          <w:szCs w:val="24"/>
        </w:rPr>
        <w:t xml:space="preserve"> kahl </w:t>
      </w:r>
      <w:r w:rsidR="000A72B3" w:rsidRPr="0032290A">
        <w:rPr>
          <w:rFonts w:cstheme="minorHAnsi"/>
          <w:noProof/>
          <w:sz w:val="24"/>
          <w:szCs w:val="24"/>
        </w:rPr>
        <w:t xml:space="preserve">und haben </w:t>
      </w:r>
      <w:r w:rsidR="002A1D96" w:rsidRPr="0032290A">
        <w:rPr>
          <w:rFonts w:cstheme="minorHAnsi"/>
          <w:noProof/>
          <w:sz w:val="24"/>
          <w:szCs w:val="24"/>
        </w:rPr>
        <w:t>höchtens sehr klei</w:t>
      </w:r>
      <w:r w:rsidR="000A72B3" w:rsidRPr="0032290A">
        <w:rPr>
          <w:rFonts w:cstheme="minorHAnsi"/>
          <w:noProof/>
          <w:sz w:val="24"/>
          <w:szCs w:val="24"/>
        </w:rPr>
        <w:t>n</w:t>
      </w:r>
      <w:r w:rsidR="002A1D96" w:rsidRPr="0032290A">
        <w:rPr>
          <w:rFonts w:cstheme="minorHAnsi"/>
          <w:noProof/>
          <w:sz w:val="24"/>
          <w:szCs w:val="24"/>
        </w:rPr>
        <w:t>e</w:t>
      </w:r>
      <w:r w:rsidR="000A72B3" w:rsidRPr="0032290A">
        <w:rPr>
          <w:rFonts w:cstheme="minorHAnsi"/>
          <w:noProof/>
          <w:sz w:val="24"/>
          <w:szCs w:val="24"/>
        </w:rPr>
        <w:t xml:space="preserve"> </w:t>
      </w:r>
      <w:r w:rsidR="002A1D96" w:rsidRPr="0032290A">
        <w:rPr>
          <w:rFonts w:cstheme="minorHAnsi"/>
          <w:noProof/>
          <w:sz w:val="24"/>
          <w:szCs w:val="24"/>
        </w:rPr>
        <w:t>Sternhaare</w:t>
      </w:r>
      <w:r w:rsidR="000A72B3" w:rsidRPr="0032290A">
        <w:rPr>
          <w:rFonts w:cstheme="minorHAnsi"/>
          <w:noProof/>
          <w:sz w:val="24"/>
          <w:szCs w:val="24"/>
        </w:rPr>
        <w:t>.</w:t>
      </w:r>
      <w:r w:rsidR="00A03BC1" w:rsidRPr="0032290A">
        <w:rPr>
          <w:rFonts w:cstheme="minorHAnsi"/>
          <w:noProof/>
          <w:sz w:val="24"/>
          <w:szCs w:val="24"/>
        </w:rPr>
        <w:t xml:space="preserve"> </w:t>
      </w:r>
    </w:p>
    <w:p w14:paraId="3A80A50D" w14:textId="56548EDF" w:rsidR="00A03BC1" w:rsidRPr="0032290A" w:rsidRDefault="00A03BC1" w:rsidP="0032290A">
      <w:pPr>
        <w:spacing w:after="0"/>
        <w:rPr>
          <w:rFonts w:cstheme="minorHAnsi"/>
          <w:noProof/>
          <w:sz w:val="24"/>
          <w:szCs w:val="24"/>
        </w:rPr>
      </w:pPr>
      <w:r w:rsidRPr="0032290A">
        <w:rPr>
          <w:rFonts w:cstheme="minorHAnsi"/>
          <w:noProof/>
          <w:sz w:val="24"/>
          <w:szCs w:val="24"/>
        </w:rPr>
        <w:t xml:space="preserve">Die </w:t>
      </w:r>
      <w:r w:rsidR="00C36988" w:rsidRPr="0032290A">
        <w:rPr>
          <w:rFonts w:cstheme="minorHAnsi"/>
          <w:noProof/>
          <w:sz w:val="24"/>
          <w:szCs w:val="24"/>
        </w:rPr>
        <w:t xml:space="preserve">gegenständigen Laubblätter sind </w:t>
      </w:r>
      <w:r w:rsidR="00F42C5D" w:rsidRPr="0032290A">
        <w:rPr>
          <w:rFonts w:cstheme="minorHAnsi"/>
          <w:noProof/>
          <w:sz w:val="24"/>
          <w:szCs w:val="24"/>
        </w:rPr>
        <w:t>buchtig-</w:t>
      </w:r>
      <w:r w:rsidR="00C36988" w:rsidRPr="0032290A">
        <w:rPr>
          <w:rFonts w:cstheme="minorHAnsi"/>
          <w:noProof/>
          <w:sz w:val="24"/>
          <w:szCs w:val="24"/>
        </w:rPr>
        <w:t>gelappt</w:t>
      </w:r>
      <w:r w:rsidR="00F42C5D" w:rsidRPr="0032290A">
        <w:rPr>
          <w:rFonts w:cstheme="minorHAnsi"/>
          <w:noProof/>
          <w:sz w:val="24"/>
          <w:szCs w:val="24"/>
        </w:rPr>
        <w:t xml:space="preserve">, </w:t>
      </w:r>
      <w:r w:rsidR="00C36988" w:rsidRPr="0032290A">
        <w:rPr>
          <w:rFonts w:cstheme="minorHAnsi"/>
          <w:noProof/>
          <w:sz w:val="24"/>
          <w:szCs w:val="24"/>
        </w:rPr>
        <w:t xml:space="preserve">haben </w:t>
      </w:r>
      <w:r w:rsidR="00F42C5D" w:rsidRPr="0032290A">
        <w:rPr>
          <w:rFonts w:cstheme="minorHAnsi"/>
          <w:noProof/>
          <w:sz w:val="24"/>
          <w:szCs w:val="24"/>
        </w:rPr>
        <w:t xml:space="preserve">5-7 stumpfe Abschnitte und sitzen auf </w:t>
      </w:r>
      <w:r w:rsidR="00607745" w:rsidRPr="0032290A">
        <w:rPr>
          <w:rFonts w:cstheme="minorHAnsi"/>
          <w:noProof/>
          <w:sz w:val="24"/>
          <w:szCs w:val="24"/>
        </w:rPr>
        <w:t>2-5(7)</w:t>
      </w:r>
      <w:r w:rsidR="006B4678" w:rsidRPr="0032290A">
        <w:rPr>
          <w:rFonts w:cstheme="minorHAnsi"/>
          <w:noProof/>
          <w:sz w:val="24"/>
          <w:szCs w:val="24"/>
        </w:rPr>
        <w:t xml:space="preserve"> </w:t>
      </w:r>
      <w:r w:rsidR="00607745" w:rsidRPr="0032290A">
        <w:rPr>
          <w:rFonts w:cstheme="minorHAnsi"/>
          <w:noProof/>
          <w:sz w:val="24"/>
          <w:szCs w:val="24"/>
        </w:rPr>
        <w:t>mm langen Blattstielen.</w:t>
      </w:r>
      <w:r w:rsidR="00000211" w:rsidRPr="0032290A">
        <w:rPr>
          <w:rFonts w:cstheme="minorHAnsi"/>
          <w:noProof/>
          <w:sz w:val="24"/>
          <w:szCs w:val="24"/>
        </w:rPr>
        <w:t xml:space="preserve"> </w:t>
      </w:r>
      <w:r w:rsidRPr="0032290A">
        <w:rPr>
          <w:rFonts w:cstheme="minorHAnsi"/>
          <w:noProof/>
          <w:sz w:val="24"/>
          <w:szCs w:val="24"/>
        </w:rPr>
        <w:t>Nach dem Laubtrieb fallen die Nebenblätter ab.</w:t>
      </w:r>
    </w:p>
    <w:p w14:paraId="14D968AA" w14:textId="3EDAC5C9" w:rsidR="00B25522" w:rsidRPr="0032290A" w:rsidRDefault="00656E0E" w:rsidP="0032290A">
      <w:pPr>
        <w:spacing w:after="0"/>
        <w:rPr>
          <w:rFonts w:cstheme="minorHAnsi"/>
          <w:noProof/>
          <w:sz w:val="24"/>
          <w:szCs w:val="24"/>
        </w:rPr>
      </w:pPr>
      <w:r w:rsidRPr="0032290A">
        <w:rPr>
          <w:rFonts w:cstheme="minorHAnsi"/>
          <w:noProof/>
          <w:sz w:val="24"/>
          <w:szCs w:val="24"/>
        </w:rPr>
        <w:t>Die männlichen Blüten bilden hängende Ähren und die weiblichen Blüten stehen zu 2-5 in den</w:t>
      </w:r>
      <w:r w:rsidR="00F9150D" w:rsidRPr="0032290A">
        <w:rPr>
          <w:rFonts w:cstheme="minorHAnsi"/>
          <w:noProof/>
          <w:sz w:val="24"/>
          <w:szCs w:val="24"/>
        </w:rPr>
        <w:t xml:space="preserve"> Blattachseln</w:t>
      </w:r>
    </w:p>
    <w:p w14:paraId="16BF4662" w14:textId="5F1C81FC" w:rsidR="00B25522" w:rsidRPr="0032290A" w:rsidRDefault="00F9150D" w:rsidP="0032290A">
      <w:pPr>
        <w:spacing w:after="0"/>
        <w:rPr>
          <w:rFonts w:cstheme="minorHAnsi"/>
          <w:noProof/>
          <w:sz w:val="24"/>
          <w:szCs w:val="24"/>
        </w:rPr>
      </w:pPr>
      <w:r w:rsidRPr="0032290A">
        <w:rPr>
          <w:rFonts w:cstheme="minorHAnsi"/>
          <w:noProof/>
          <w:sz w:val="24"/>
          <w:szCs w:val="24"/>
        </w:rPr>
        <w:t>Der Fruchtstand ist 2-4(6)</w:t>
      </w:r>
      <w:r w:rsidR="006B4678" w:rsidRPr="0032290A">
        <w:rPr>
          <w:rFonts w:cstheme="minorHAnsi"/>
          <w:noProof/>
          <w:sz w:val="24"/>
          <w:szCs w:val="24"/>
        </w:rPr>
        <w:t xml:space="preserve"> </w:t>
      </w:r>
      <w:r w:rsidRPr="0032290A">
        <w:rPr>
          <w:rFonts w:cstheme="minorHAnsi"/>
          <w:noProof/>
          <w:sz w:val="24"/>
          <w:szCs w:val="24"/>
        </w:rPr>
        <w:t>cm lang gestielt</w:t>
      </w:r>
      <w:r w:rsidR="00C87E28" w:rsidRPr="0032290A">
        <w:rPr>
          <w:rFonts w:cstheme="minorHAnsi"/>
          <w:noProof/>
          <w:sz w:val="24"/>
          <w:szCs w:val="24"/>
        </w:rPr>
        <w:t xml:space="preserve"> und die Frucht reift bereits im ersten Jahr zu ein</w:t>
      </w:r>
      <w:r w:rsidR="006B4678" w:rsidRPr="0032290A">
        <w:rPr>
          <w:rFonts w:cstheme="minorHAnsi"/>
          <w:noProof/>
          <w:sz w:val="24"/>
          <w:szCs w:val="24"/>
        </w:rPr>
        <w:t>e</w:t>
      </w:r>
      <w:r w:rsidR="00C87E28" w:rsidRPr="0032290A">
        <w:rPr>
          <w:rFonts w:cstheme="minorHAnsi"/>
          <w:noProof/>
          <w:sz w:val="24"/>
          <w:szCs w:val="24"/>
        </w:rPr>
        <w:t xml:space="preserve">r glatten, eiförmigen Eichel </w:t>
      </w:r>
      <w:r w:rsidR="00C81DB3" w:rsidRPr="0032290A">
        <w:rPr>
          <w:rFonts w:cstheme="minorHAnsi"/>
          <w:noProof/>
          <w:sz w:val="24"/>
          <w:szCs w:val="24"/>
        </w:rPr>
        <w:t xml:space="preserve">(Nuss) </w:t>
      </w:r>
      <w:r w:rsidR="00C87E28" w:rsidRPr="0032290A">
        <w:rPr>
          <w:rFonts w:cstheme="minorHAnsi"/>
          <w:noProof/>
          <w:sz w:val="24"/>
          <w:szCs w:val="24"/>
        </w:rPr>
        <w:t xml:space="preserve">heran. Diese ist teilweise von einem Fruchtbecher (Cupula) umgeben, deren </w:t>
      </w:r>
      <w:r w:rsidR="004278BD" w:rsidRPr="0032290A">
        <w:rPr>
          <w:rFonts w:cstheme="minorHAnsi"/>
          <w:noProof/>
          <w:sz w:val="24"/>
          <w:szCs w:val="24"/>
        </w:rPr>
        <w:t>Schuppen fast völlig verwachsen sind.</w:t>
      </w:r>
    </w:p>
    <w:p w14:paraId="4DE213D4" w14:textId="7FBBD417" w:rsidR="00671E08" w:rsidRPr="0032290A" w:rsidRDefault="00671E08" w:rsidP="00671E08">
      <w:pPr>
        <w:rPr>
          <w:rFonts w:cstheme="minorHAnsi"/>
          <w:noProof/>
          <w:sz w:val="24"/>
          <w:szCs w:val="24"/>
        </w:rPr>
      </w:pPr>
      <w:r w:rsidRPr="0032290A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32290A">
        <w:rPr>
          <w:rFonts w:cstheme="minorHAnsi"/>
          <w:noProof/>
          <w:sz w:val="24"/>
          <w:szCs w:val="24"/>
        </w:rPr>
        <w:t xml:space="preserve"> </w:t>
      </w:r>
      <w:r w:rsidR="00674A6C" w:rsidRPr="0032290A">
        <w:rPr>
          <w:rFonts w:cstheme="minorHAnsi"/>
          <w:i/>
          <w:iCs/>
          <w:noProof/>
          <w:sz w:val="24"/>
          <w:szCs w:val="24"/>
        </w:rPr>
        <w:t xml:space="preserve">Quercus robur </w:t>
      </w:r>
      <w:r w:rsidR="00674A6C" w:rsidRPr="0032290A">
        <w:rPr>
          <w:rFonts w:cstheme="minorHAnsi"/>
          <w:noProof/>
          <w:sz w:val="24"/>
          <w:szCs w:val="24"/>
        </w:rPr>
        <w:t>ist eine tiefwurzelnde Halb-/ Lichtbaumart</w:t>
      </w:r>
      <w:r w:rsidR="00A77BC4" w:rsidRPr="0032290A">
        <w:rPr>
          <w:rFonts w:cstheme="minorHAnsi"/>
          <w:noProof/>
          <w:sz w:val="24"/>
          <w:szCs w:val="24"/>
        </w:rPr>
        <w:t>,</w:t>
      </w:r>
      <w:r w:rsidR="00321D30" w:rsidRPr="0032290A">
        <w:rPr>
          <w:rFonts w:cstheme="minorHAnsi"/>
          <w:noProof/>
          <w:sz w:val="24"/>
          <w:szCs w:val="24"/>
        </w:rPr>
        <w:t xml:space="preserve"> </w:t>
      </w:r>
      <w:r w:rsidR="009F00A7" w:rsidRPr="0032290A">
        <w:rPr>
          <w:rFonts w:cstheme="minorHAnsi"/>
          <w:noProof/>
          <w:sz w:val="24"/>
          <w:szCs w:val="24"/>
        </w:rPr>
        <w:t xml:space="preserve">die </w:t>
      </w:r>
      <w:r w:rsidR="00321D30" w:rsidRPr="0032290A">
        <w:rPr>
          <w:rFonts w:cstheme="minorHAnsi"/>
          <w:noProof/>
          <w:sz w:val="24"/>
          <w:szCs w:val="24"/>
        </w:rPr>
        <w:t xml:space="preserve">auf mäßig trockenen </w:t>
      </w:r>
      <w:r w:rsidR="001A29F1" w:rsidRPr="0032290A">
        <w:rPr>
          <w:rFonts w:cstheme="minorHAnsi"/>
          <w:noProof/>
          <w:sz w:val="24"/>
          <w:szCs w:val="24"/>
        </w:rPr>
        <w:t>bis frischen, basisch bis sauren Böden</w:t>
      </w:r>
      <w:r w:rsidR="00A77BC4" w:rsidRPr="0032290A">
        <w:rPr>
          <w:rFonts w:cstheme="minorHAnsi"/>
          <w:noProof/>
          <w:sz w:val="24"/>
          <w:szCs w:val="24"/>
        </w:rPr>
        <w:t xml:space="preserve"> vorkommt. </w:t>
      </w:r>
    </w:p>
    <w:p w14:paraId="01BDE67A" w14:textId="77777777" w:rsidR="0032290A" w:rsidRPr="0032290A" w:rsidRDefault="0032290A" w:rsidP="0032290A">
      <w:pPr>
        <w:rPr>
          <w:rFonts w:cstheme="minorHAnsi"/>
          <w:noProof/>
          <w:sz w:val="24"/>
          <w:szCs w:val="24"/>
        </w:rPr>
      </w:pPr>
      <w:r w:rsidRPr="0032290A">
        <w:rPr>
          <w:rFonts w:cstheme="minorHAnsi"/>
          <w:b/>
          <w:bCs/>
          <w:noProof/>
          <w:sz w:val="24"/>
          <w:szCs w:val="24"/>
        </w:rPr>
        <w:t>Blütezeit:</w:t>
      </w:r>
      <w:r w:rsidRPr="0032290A">
        <w:rPr>
          <w:rFonts w:cstheme="minorHAnsi"/>
          <w:noProof/>
          <w:sz w:val="24"/>
          <w:szCs w:val="24"/>
        </w:rPr>
        <w:t xml:space="preserve"> April bis Mai </w:t>
      </w:r>
    </w:p>
    <w:p w14:paraId="538EAC4C" w14:textId="0D8140E1" w:rsidR="002127CD" w:rsidRPr="0032290A" w:rsidRDefault="00674A6C">
      <w:pPr>
        <w:rPr>
          <w:rFonts w:cstheme="minorHAnsi"/>
          <w:sz w:val="24"/>
          <w:szCs w:val="24"/>
        </w:rPr>
      </w:pPr>
      <w:r w:rsidRPr="0032290A">
        <w:rPr>
          <w:rFonts w:cstheme="minorHAnsi"/>
          <w:b/>
          <w:bCs/>
          <w:sz w:val="24"/>
          <w:szCs w:val="24"/>
        </w:rPr>
        <w:t xml:space="preserve">Höhenstufe: </w:t>
      </w:r>
      <w:proofErr w:type="spellStart"/>
      <w:r w:rsidRPr="0032290A">
        <w:rPr>
          <w:rFonts w:cstheme="minorHAnsi"/>
          <w:sz w:val="24"/>
          <w:szCs w:val="24"/>
        </w:rPr>
        <w:t>collin</w:t>
      </w:r>
      <w:proofErr w:type="spellEnd"/>
      <w:r w:rsidRPr="0032290A">
        <w:rPr>
          <w:rFonts w:cstheme="minorHAnsi"/>
          <w:sz w:val="24"/>
          <w:szCs w:val="24"/>
        </w:rPr>
        <w:t xml:space="preserve"> bis untermontan </w:t>
      </w:r>
    </w:p>
    <w:p w14:paraId="1E7BE22D" w14:textId="77777777" w:rsidR="0032290A" w:rsidRPr="00933E0C" w:rsidRDefault="0032290A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11A09FAF" w14:textId="77777777" w:rsidR="0032290A" w:rsidRPr="00933E0C" w:rsidRDefault="0032290A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5A1AAD0D" w14:textId="77777777" w:rsidR="0032290A" w:rsidRPr="00F21DE8" w:rsidRDefault="0032290A" w:rsidP="0032290A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13" w:tblpY="123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27"/>
        <w:gridCol w:w="347"/>
        <w:gridCol w:w="371"/>
        <w:gridCol w:w="338"/>
      </w:tblGrid>
      <w:tr w:rsidR="001105AF" w:rsidRPr="0032290A" w14:paraId="50AB2E8F" w14:textId="77777777" w:rsidTr="00110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F162" w14:textId="77777777" w:rsidR="001105AF" w:rsidRPr="0032290A" w:rsidRDefault="001105AF" w:rsidP="001105A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2290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097A" w14:textId="77777777" w:rsidR="001105AF" w:rsidRPr="0032290A" w:rsidRDefault="001105AF" w:rsidP="001105A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2290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7518" w14:textId="77777777" w:rsidR="001105AF" w:rsidRPr="0032290A" w:rsidRDefault="001105AF" w:rsidP="001105A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2290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0983" w14:textId="77777777" w:rsidR="001105AF" w:rsidRPr="0032290A" w:rsidRDefault="001105AF" w:rsidP="001105A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2290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C0BB" w14:textId="77777777" w:rsidR="001105AF" w:rsidRPr="0032290A" w:rsidRDefault="001105AF" w:rsidP="001105A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2290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8D1E" w14:textId="77777777" w:rsidR="001105AF" w:rsidRPr="0032290A" w:rsidRDefault="001105AF" w:rsidP="001105A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2290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80CE" w14:textId="77777777" w:rsidR="001105AF" w:rsidRPr="0032290A" w:rsidRDefault="001105AF" w:rsidP="001105A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2290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1105AF" w:rsidRPr="0032290A" w14:paraId="6FB33284" w14:textId="77777777" w:rsidTr="00110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607FA" w14:textId="77777777" w:rsidR="001105AF" w:rsidRPr="0032290A" w:rsidRDefault="001105AF" w:rsidP="001105A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2290A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CEE78" w14:textId="77777777" w:rsidR="001105AF" w:rsidRPr="0032290A" w:rsidRDefault="001105AF" w:rsidP="001105A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2290A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5339B" w14:textId="77777777" w:rsidR="001105AF" w:rsidRPr="0032290A" w:rsidRDefault="001105AF" w:rsidP="001105A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2290A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99C20" w14:textId="77777777" w:rsidR="001105AF" w:rsidRPr="0032290A" w:rsidRDefault="001105AF" w:rsidP="001105A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2290A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730CC" w14:textId="77777777" w:rsidR="001105AF" w:rsidRPr="0032290A" w:rsidRDefault="001105AF" w:rsidP="001105A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2290A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7CC4B" w14:textId="77777777" w:rsidR="001105AF" w:rsidRPr="0032290A" w:rsidRDefault="001105AF" w:rsidP="001105A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2290A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505FA" w14:textId="77777777" w:rsidR="001105AF" w:rsidRPr="0032290A" w:rsidRDefault="001105AF" w:rsidP="001105A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2290A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5AFC236E" w14:textId="77777777" w:rsidR="00C81DB3" w:rsidRPr="0032290A" w:rsidRDefault="00C81DB3">
      <w:pPr>
        <w:rPr>
          <w:rFonts w:cstheme="minorHAnsi"/>
          <w:sz w:val="24"/>
          <w:szCs w:val="24"/>
        </w:rPr>
      </w:pPr>
    </w:p>
    <w:p w14:paraId="06A3D395" w14:textId="69D1B789" w:rsidR="00C81DB3" w:rsidRPr="0032290A" w:rsidRDefault="00C263A5">
      <w:pPr>
        <w:rPr>
          <w:rFonts w:cstheme="minorHAnsi"/>
          <w:b/>
          <w:bCs/>
          <w:sz w:val="24"/>
          <w:szCs w:val="24"/>
        </w:rPr>
      </w:pPr>
      <w:r w:rsidRPr="0032290A">
        <w:rPr>
          <w:rFonts w:cstheme="minorHAnsi"/>
          <w:b/>
          <w:bCs/>
          <w:sz w:val="24"/>
          <w:szCs w:val="24"/>
        </w:rPr>
        <w:t xml:space="preserve">Zeigerwerte: </w:t>
      </w:r>
    </w:p>
    <w:sectPr w:rsidR="00C81DB3" w:rsidRPr="0032290A" w:rsidSect="00671E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1D3D" w14:textId="77777777" w:rsidR="00A542F9" w:rsidRDefault="00A542F9" w:rsidP="00671E08">
      <w:pPr>
        <w:spacing w:after="0" w:line="240" w:lineRule="auto"/>
      </w:pPr>
      <w:r>
        <w:separator/>
      </w:r>
    </w:p>
  </w:endnote>
  <w:endnote w:type="continuationSeparator" w:id="0">
    <w:p w14:paraId="07A45309" w14:textId="77777777" w:rsidR="00A542F9" w:rsidRDefault="00A542F9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602C" w14:textId="77777777" w:rsidR="0032290A" w:rsidRPr="009F1BF4" w:rsidRDefault="0032290A" w:rsidP="0032290A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466F5352" w14:textId="77777777" w:rsidR="0032290A" w:rsidRPr="009F1BF4" w:rsidRDefault="0032290A" w:rsidP="0032290A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5D9118EC" w14:textId="5B92D457" w:rsidR="0032290A" w:rsidRDefault="0032290A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1976" w14:textId="77777777" w:rsidR="00A542F9" w:rsidRDefault="00A542F9" w:rsidP="00671E08">
      <w:pPr>
        <w:spacing w:after="0" w:line="240" w:lineRule="auto"/>
      </w:pPr>
      <w:r>
        <w:separator/>
      </w:r>
    </w:p>
  </w:footnote>
  <w:footnote w:type="continuationSeparator" w:id="0">
    <w:p w14:paraId="01ABF305" w14:textId="77777777" w:rsidR="00A542F9" w:rsidRDefault="00A542F9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63C4647D" w:rsidR="008311FB" w:rsidRDefault="008311FB" w:rsidP="00C15999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00211"/>
    <w:rsid w:val="00016D2E"/>
    <w:rsid w:val="00036F9D"/>
    <w:rsid w:val="000A22EA"/>
    <w:rsid w:val="000A72B3"/>
    <w:rsid w:val="001105AF"/>
    <w:rsid w:val="00131467"/>
    <w:rsid w:val="00150FF2"/>
    <w:rsid w:val="00180003"/>
    <w:rsid w:val="0018504B"/>
    <w:rsid w:val="001A29F1"/>
    <w:rsid w:val="002127CD"/>
    <w:rsid w:val="00214075"/>
    <w:rsid w:val="002459D8"/>
    <w:rsid w:val="00277DC0"/>
    <w:rsid w:val="002A1D96"/>
    <w:rsid w:val="002B48F0"/>
    <w:rsid w:val="00321D30"/>
    <w:rsid w:val="0032290A"/>
    <w:rsid w:val="00323AF6"/>
    <w:rsid w:val="003759D7"/>
    <w:rsid w:val="003E07A6"/>
    <w:rsid w:val="003F4D2F"/>
    <w:rsid w:val="004206BC"/>
    <w:rsid w:val="004278BD"/>
    <w:rsid w:val="004A1D68"/>
    <w:rsid w:val="004B3621"/>
    <w:rsid w:val="004D33F6"/>
    <w:rsid w:val="004D5FB7"/>
    <w:rsid w:val="00537F05"/>
    <w:rsid w:val="00543622"/>
    <w:rsid w:val="00546BCA"/>
    <w:rsid w:val="00581891"/>
    <w:rsid w:val="005837D2"/>
    <w:rsid w:val="005B1DFD"/>
    <w:rsid w:val="005D730C"/>
    <w:rsid w:val="00607745"/>
    <w:rsid w:val="00646B32"/>
    <w:rsid w:val="006523F4"/>
    <w:rsid w:val="00656E0E"/>
    <w:rsid w:val="00671E08"/>
    <w:rsid w:val="00674A6C"/>
    <w:rsid w:val="0067526A"/>
    <w:rsid w:val="006B4678"/>
    <w:rsid w:val="006E2212"/>
    <w:rsid w:val="00725A55"/>
    <w:rsid w:val="00757CDB"/>
    <w:rsid w:val="007B3EE2"/>
    <w:rsid w:val="007C4393"/>
    <w:rsid w:val="007F1D86"/>
    <w:rsid w:val="008311FB"/>
    <w:rsid w:val="00856DD5"/>
    <w:rsid w:val="00874296"/>
    <w:rsid w:val="009F00A7"/>
    <w:rsid w:val="00A03BC1"/>
    <w:rsid w:val="00A542F9"/>
    <w:rsid w:val="00A77BC4"/>
    <w:rsid w:val="00AC64DD"/>
    <w:rsid w:val="00AF757D"/>
    <w:rsid w:val="00B25522"/>
    <w:rsid w:val="00B5349C"/>
    <w:rsid w:val="00B5754B"/>
    <w:rsid w:val="00B61D4B"/>
    <w:rsid w:val="00B8586E"/>
    <w:rsid w:val="00BA52E1"/>
    <w:rsid w:val="00BE0D97"/>
    <w:rsid w:val="00BF420B"/>
    <w:rsid w:val="00C040F9"/>
    <w:rsid w:val="00C104CF"/>
    <w:rsid w:val="00C12E7B"/>
    <w:rsid w:val="00C15999"/>
    <w:rsid w:val="00C263A5"/>
    <w:rsid w:val="00C33EA9"/>
    <w:rsid w:val="00C36988"/>
    <w:rsid w:val="00C81DB3"/>
    <w:rsid w:val="00C87E28"/>
    <w:rsid w:val="00C907AC"/>
    <w:rsid w:val="00CE49A2"/>
    <w:rsid w:val="00CF085E"/>
    <w:rsid w:val="00DD2695"/>
    <w:rsid w:val="00DE2C63"/>
    <w:rsid w:val="00E04484"/>
    <w:rsid w:val="00EA1747"/>
    <w:rsid w:val="00EA7741"/>
    <w:rsid w:val="00EB73F4"/>
    <w:rsid w:val="00EC1246"/>
    <w:rsid w:val="00ED5027"/>
    <w:rsid w:val="00F42C5D"/>
    <w:rsid w:val="00F46D4D"/>
    <w:rsid w:val="00F865BD"/>
    <w:rsid w:val="00F9150D"/>
    <w:rsid w:val="00FD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1105AF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86</cp:revision>
  <dcterms:created xsi:type="dcterms:W3CDTF">2023-07-21T12:24:00Z</dcterms:created>
  <dcterms:modified xsi:type="dcterms:W3CDTF">2024-10-29T10:36:00Z</dcterms:modified>
</cp:coreProperties>
</file>