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29AA4F2F" w:rsidR="00671E08" w:rsidRPr="00FE7997" w:rsidRDefault="00D61C22" w:rsidP="00671E08">
      <w:pPr>
        <w:rPr>
          <w:rFonts w:cstheme="minorHAnsi"/>
          <w:b/>
          <w:bCs/>
          <w:noProof/>
          <w:sz w:val="32"/>
          <w:szCs w:val="32"/>
        </w:rPr>
      </w:pPr>
      <w:r w:rsidRPr="00FE7997">
        <w:rPr>
          <w:rFonts w:cstheme="minorHAnsi"/>
          <w:b/>
          <w:bCs/>
          <w:i/>
          <w:iCs/>
          <w:noProof/>
          <w:sz w:val="32"/>
          <w:szCs w:val="32"/>
        </w:rPr>
        <w:t>Petasites albus</w:t>
      </w:r>
      <w:r w:rsidR="00671E08" w:rsidRPr="00FE7997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FE7997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Pr="00FE7997">
        <w:rPr>
          <w:rFonts w:cstheme="minorHAnsi"/>
          <w:b/>
          <w:bCs/>
          <w:noProof/>
          <w:sz w:val="32"/>
          <w:szCs w:val="32"/>
        </w:rPr>
        <w:t>Weiß</w:t>
      </w:r>
      <w:r w:rsidR="00FE7997">
        <w:rPr>
          <w:rFonts w:cstheme="minorHAnsi"/>
          <w:b/>
          <w:bCs/>
          <w:noProof/>
          <w:sz w:val="32"/>
          <w:szCs w:val="32"/>
        </w:rPr>
        <w:t xml:space="preserve">e </w:t>
      </w:r>
      <w:r w:rsidRPr="00FE7997">
        <w:rPr>
          <w:rFonts w:cstheme="minorHAnsi"/>
          <w:b/>
          <w:bCs/>
          <w:noProof/>
          <w:sz w:val="32"/>
          <w:szCs w:val="32"/>
        </w:rPr>
        <w:t>Pestwurz</w:t>
      </w:r>
    </w:p>
    <w:p w14:paraId="5C73A51D" w14:textId="65BB3B7F" w:rsidR="00671E08" w:rsidRPr="00FE7997" w:rsidRDefault="007B3EE2" w:rsidP="00671E08">
      <w:pPr>
        <w:rPr>
          <w:rFonts w:cstheme="minorHAnsi"/>
          <w:noProof/>
          <w:sz w:val="24"/>
          <w:szCs w:val="24"/>
        </w:rPr>
      </w:pPr>
      <w:r w:rsidRPr="00FE7997">
        <w:rPr>
          <w:rFonts w:cstheme="minorHAnsi"/>
          <w:noProof/>
          <w:sz w:val="24"/>
          <w:szCs w:val="24"/>
        </w:rPr>
        <w:t>[</w:t>
      </w:r>
      <w:r w:rsidR="003506C6" w:rsidRPr="00FE7997">
        <w:rPr>
          <w:rFonts w:cstheme="minorHAnsi"/>
          <w:noProof/>
          <w:sz w:val="24"/>
          <w:szCs w:val="24"/>
        </w:rPr>
        <w:t>Asteraceae, Korbblütler</w:t>
      </w:r>
      <w:r w:rsidR="00671E08" w:rsidRPr="00FE7997">
        <w:rPr>
          <w:rFonts w:cstheme="minorHAnsi"/>
          <w:noProof/>
          <w:sz w:val="24"/>
          <w:szCs w:val="24"/>
        </w:rPr>
        <w:t>]</w:t>
      </w:r>
    </w:p>
    <w:p w14:paraId="4D5D0891" w14:textId="77777777" w:rsidR="00681865" w:rsidRPr="00FE7997" w:rsidRDefault="00681865" w:rsidP="00671E08">
      <w:pPr>
        <w:rPr>
          <w:rFonts w:cstheme="minorHAnsi"/>
          <w:noProof/>
          <w:sz w:val="24"/>
          <w:szCs w:val="24"/>
        </w:rPr>
      </w:pPr>
    </w:p>
    <w:p w14:paraId="0413B947" w14:textId="21B2E2B2" w:rsidR="00671E08" w:rsidRPr="00FE7997" w:rsidRDefault="00EE01F5" w:rsidP="007F5376">
      <w:pPr>
        <w:jc w:val="center"/>
        <w:rPr>
          <w:rFonts w:cstheme="minorHAnsi"/>
          <w:noProof/>
          <w:sz w:val="28"/>
          <w:szCs w:val="28"/>
        </w:rPr>
      </w:pPr>
      <w:r w:rsidRPr="00FE7997">
        <w:rPr>
          <w:rFonts w:cstheme="minorHAnsi"/>
          <w:noProof/>
          <w:sz w:val="24"/>
          <w:szCs w:val="24"/>
        </w:rPr>
        <w:drawing>
          <wp:inline distT="0" distB="0" distL="0" distR="0" wp14:anchorId="339B429D" wp14:editId="66575781">
            <wp:extent cx="1953491" cy="1488100"/>
            <wp:effectExtent l="0" t="0" r="8890" b="0"/>
            <wp:docPr id="982362683" name="Grafik 1" descr="Ein Bild, das draußen, Gras, Garten, Krau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362683" name="Grafik 1" descr="Ein Bild, das draußen, Gras, Garten, Kraut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99" t="15638" r="8362"/>
                    <a:stretch/>
                  </pic:blipFill>
                  <pic:spPr bwMode="auto">
                    <a:xfrm flipH="1">
                      <a:off x="0" y="0"/>
                      <a:ext cx="1996262" cy="1520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F5376" w:rsidRPr="00FE7997">
        <w:rPr>
          <w:rFonts w:cstheme="minorHAnsi"/>
          <w:noProof/>
          <w:sz w:val="24"/>
          <w:szCs w:val="24"/>
        </w:rPr>
        <w:t xml:space="preserve">   </w:t>
      </w:r>
      <w:r w:rsidRPr="00FE7997">
        <w:rPr>
          <w:rFonts w:cstheme="minorHAnsi"/>
          <w:noProof/>
          <w:sz w:val="24"/>
          <w:szCs w:val="24"/>
        </w:rPr>
        <w:drawing>
          <wp:inline distT="0" distB="0" distL="0" distR="0" wp14:anchorId="52C49322" wp14:editId="5A4D669A">
            <wp:extent cx="1794163" cy="1480855"/>
            <wp:effectExtent l="0" t="0" r="0" b="5080"/>
            <wp:docPr id="2109827589" name="Grafik 2" descr="Ein Bild, das draußen, Pflanze, Blum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827589" name="Grafik 2" descr="Ein Bild, das draußen, Pflanze, Blum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70" r="9379" b="14216"/>
                    <a:stretch/>
                  </pic:blipFill>
                  <pic:spPr bwMode="auto">
                    <a:xfrm>
                      <a:off x="0" y="0"/>
                      <a:ext cx="1816345" cy="1499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F5376" w:rsidRPr="00FE7997">
        <w:rPr>
          <w:rFonts w:cstheme="minorHAnsi"/>
          <w:noProof/>
          <w:sz w:val="24"/>
          <w:szCs w:val="24"/>
        </w:rPr>
        <w:t xml:space="preserve">   </w:t>
      </w:r>
      <w:r w:rsidRPr="00FE7997">
        <w:rPr>
          <w:rFonts w:cstheme="minorHAnsi"/>
          <w:noProof/>
          <w:sz w:val="24"/>
          <w:szCs w:val="24"/>
        </w:rPr>
        <w:drawing>
          <wp:inline distT="0" distB="0" distL="0" distR="0" wp14:anchorId="5542F47B" wp14:editId="04A9F3F2">
            <wp:extent cx="1711037" cy="1478395"/>
            <wp:effectExtent l="0" t="0" r="3810" b="7620"/>
            <wp:docPr id="1508669850" name="Grafik 3" descr="Ein Bild, das draußen, Pflanze, Halbstrauch, Samenpflanz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669850" name="Grafik 3" descr="Ein Bild, das draußen, Pflanze, Halbstrauch, Samenpflanz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87" r="12343"/>
                    <a:stretch/>
                  </pic:blipFill>
                  <pic:spPr bwMode="auto">
                    <a:xfrm>
                      <a:off x="0" y="0"/>
                      <a:ext cx="1717675" cy="1484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AF8D5A" w14:textId="77777777" w:rsidR="00EE01F5" w:rsidRPr="00FE7997" w:rsidRDefault="00EE01F5" w:rsidP="00671E08">
      <w:pPr>
        <w:rPr>
          <w:rFonts w:cstheme="minorHAnsi"/>
          <w:noProof/>
          <w:sz w:val="24"/>
          <w:szCs w:val="24"/>
        </w:rPr>
      </w:pPr>
    </w:p>
    <w:p w14:paraId="21736FE3" w14:textId="41707542" w:rsidR="001B75F1" w:rsidRPr="00FE7997" w:rsidRDefault="00671E08" w:rsidP="00BF420B">
      <w:pPr>
        <w:rPr>
          <w:rFonts w:cstheme="minorHAnsi"/>
          <w:noProof/>
          <w:sz w:val="24"/>
          <w:szCs w:val="24"/>
        </w:rPr>
      </w:pPr>
      <w:r w:rsidRPr="00FE7997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FE7997">
        <w:rPr>
          <w:rFonts w:cstheme="minorHAnsi"/>
          <w:noProof/>
          <w:sz w:val="24"/>
          <w:szCs w:val="24"/>
        </w:rPr>
        <w:t xml:space="preserve"> </w:t>
      </w:r>
      <w:r w:rsidR="00683B1A" w:rsidRPr="00FE7997">
        <w:rPr>
          <w:rFonts w:cstheme="minorHAnsi"/>
          <w:noProof/>
          <w:sz w:val="24"/>
          <w:szCs w:val="24"/>
        </w:rPr>
        <w:t xml:space="preserve">Dieser ausdauernde Geophyt erreicht eine Höhe von </w:t>
      </w:r>
      <w:r w:rsidR="00BA0633" w:rsidRPr="00FE7997">
        <w:rPr>
          <w:rFonts w:cstheme="minorHAnsi"/>
          <w:noProof/>
          <w:sz w:val="24"/>
          <w:szCs w:val="24"/>
        </w:rPr>
        <w:t>10-80</w:t>
      </w:r>
      <w:r w:rsidR="00C41E4E" w:rsidRPr="00FE7997">
        <w:rPr>
          <w:rFonts w:cstheme="minorHAnsi"/>
          <w:noProof/>
          <w:sz w:val="24"/>
          <w:szCs w:val="24"/>
        </w:rPr>
        <w:t xml:space="preserve"> </w:t>
      </w:r>
      <w:r w:rsidR="00BA0633" w:rsidRPr="00FE7997">
        <w:rPr>
          <w:rFonts w:cstheme="minorHAnsi"/>
          <w:noProof/>
          <w:sz w:val="24"/>
          <w:szCs w:val="24"/>
        </w:rPr>
        <w:t>cm.</w:t>
      </w:r>
    </w:p>
    <w:p w14:paraId="6D28E149" w14:textId="77777777" w:rsidR="00075BE2" w:rsidRPr="00FE7997" w:rsidRDefault="003C289A" w:rsidP="00BF420B">
      <w:pPr>
        <w:rPr>
          <w:rFonts w:cstheme="minorHAnsi"/>
          <w:noProof/>
          <w:sz w:val="24"/>
          <w:szCs w:val="24"/>
        </w:rPr>
      </w:pPr>
      <w:r w:rsidRPr="00FE7997">
        <w:rPr>
          <w:rFonts w:cstheme="minorHAnsi"/>
          <w:noProof/>
          <w:sz w:val="24"/>
          <w:szCs w:val="24"/>
        </w:rPr>
        <w:t xml:space="preserve">Der Stängel </w:t>
      </w:r>
      <w:r w:rsidR="00FF085B" w:rsidRPr="00FE7997">
        <w:rPr>
          <w:rFonts w:cstheme="minorHAnsi"/>
          <w:noProof/>
          <w:sz w:val="24"/>
          <w:szCs w:val="24"/>
        </w:rPr>
        <w:t xml:space="preserve">trägt gelblich bis blassgrüne Hochblätter. </w:t>
      </w:r>
    </w:p>
    <w:p w14:paraId="21BD9D69" w14:textId="626F347F" w:rsidR="00BA0633" w:rsidRPr="00FE7997" w:rsidRDefault="00075BE2" w:rsidP="00BF420B">
      <w:pPr>
        <w:rPr>
          <w:rFonts w:cstheme="minorHAnsi"/>
          <w:noProof/>
          <w:sz w:val="24"/>
          <w:szCs w:val="24"/>
        </w:rPr>
      </w:pPr>
      <w:r w:rsidRPr="00FE7997">
        <w:rPr>
          <w:rFonts w:cstheme="minorHAnsi"/>
          <w:noProof/>
          <w:sz w:val="24"/>
          <w:szCs w:val="24"/>
        </w:rPr>
        <w:t>Erst am Ende der Blü</w:t>
      </w:r>
      <w:r w:rsidR="005C099A" w:rsidRPr="00FE7997">
        <w:rPr>
          <w:rFonts w:cstheme="minorHAnsi"/>
          <w:noProof/>
          <w:sz w:val="24"/>
          <w:szCs w:val="24"/>
        </w:rPr>
        <w:t>te</w:t>
      </w:r>
      <w:r w:rsidRPr="00FE7997">
        <w:rPr>
          <w:rFonts w:cstheme="minorHAnsi"/>
          <w:noProof/>
          <w:sz w:val="24"/>
          <w:szCs w:val="24"/>
        </w:rPr>
        <w:t>zeit erschein</w:t>
      </w:r>
      <w:r w:rsidR="00EA7AC0" w:rsidRPr="00FE7997">
        <w:rPr>
          <w:rFonts w:cstheme="minorHAnsi"/>
          <w:noProof/>
          <w:sz w:val="24"/>
          <w:szCs w:val="24"/>
        </w:rPr>
        <w:t>e</w:t>
      </w:r>
      <w:r w:rsidRPr="00FE7997">
        <w:rPr>
          <w:rFonts w:cstheme="minorHAnsi"/>
          <w:noProof/>
          <w:sz w:val="24"/>
          <w:szCs w:val="24"/>
        </w:rPr>
        <w:t>n die langgestielten, nierenförmigen L</w:t>
      </w:r>
      <w:r w:rsidR="004A79CD" w:rsidRPr="00FE7997">
        <w:rPr>
          <w:rFonts w:cstheme="minorHAnsi"/>
          <w:noProof/>
          <w:sz w:val="24"/>
          <w:szCs w:val="24"/>
        </w:rPr>
        <w:t>aubblätter.</w:t>
      </w:r>
      <w:r w:rsidR="009F7A15" w:rsidRPr="00FE7997">
        <w:rPr>
          <w:rFonts w:cstheme="minorHAnsi"/>
          <w:noProof/>
          <w:sz w:val="24"/>
          <w:szCs w:val="24"/>
        </w:rPr>
        <w:t xml:space="preserve"> </w:t>
      </w:r>
      <w:r w:rsidR="004A79CD" w:rsidRPr="00FE7997">
        <w:rPr>
          <w:rFonts w:cstheme="minorHAnsi"/>
          <w:noProof/>
          <w:sz w:val="24"/>
          <w:szCs w:val="24"/>
        </w:rPr>
        <w:t xml:space="preserve">Der Spreitenrand </w:t>
      </w:r>
      <w:r w:rsidR="00DA4CB2" w:rsidRPr="00FE7997">
        <w:rPr>
          <w:rFonts w:cstheme="minorHAnsi"/>
          <w:noProof/>
          <w:sz w:val="24"/>
          <w:szCs w:val="24"/>
        </w:rPr>
        <w:t xml:space="preserve">ist </w:t>
      </w:r>
      <w:r w:rsidR="00FF085B" w:rsidRPr="00FE7997">
        <w:rPr>
          <w:rFonts w:cstheme="minorHAnsi"/>
          <w:noProof/>
          <w:sz w:val="24"/>
          <w:szCs w:val="24"/>
        </w:rPr>
        <w:t xml:space="preserve">doppelt gezähnt </w:t>
      </w:r>
      <w:r w:rsidR="00DA4CB2" w:rsidRPr="00FE7997">
        <w:rPr>
          <w:rFonts w:cstheme="minorHAnsi"/>
          <w:noProof/>
          <w:sz w:val="24"/>
          <w:szCs w:val="24"/>
        </w:rPr>
        <w:t>und die Unterseite</w:t>
      </w:r>
      <w:r w:rsidR="009F7A15" w:rsidRPr="00FE7997">
        <w:rPr>
          <w:rFonts w:cstheme="minorHAnsi"/>
          <w:noProof/>
          <w:sz w:val="24"/>
          <w:szCs w:val="24"/>
        </w:rPr>
        <w:t xml:space="preserve"> weißfilzig</w:t>
      </w:r>
      <w:r w:rsidR="004A79CD" w:rsidRPr="00FE7997">
        <w:rPr>
          <w:rFonts w:cstheme="minorHAnsi"/>
          <w:noProof/>
          <w:sz w:val="24"/>
          <w:szCs w:val="24"/>
        </w:rPr>
        <w:t xml:space="preserve">. Die </w:t>
      </w:r>
      <w:r w:rsidR="007F73A5" w:rsidRPr="00FE7997">
        <w:rPr>
          <w:rFonts w:cstheme="minorHAnsi"/>
          <w:noProof/>
          <w:sz w:val="24"/>
          <w:szCs w:val="24"/>
        </w:rPr>
        <w:t>unteren Seitennerven enden nicht in der Stielbucht und die Leitbündel sind im Querschnitt zerstreut.</w:t>
      </w:r>
    </w:p>
    <w:p w14:paraId="5FFB7C72" w14:textId="67987779" w:rsidR="00671E08" w:rsidRPr="00FE7997" w:rsidRDefault="007F73A5" w:rsidP="00671E08">
      <w:pPr>
        <w:rPr>
          <w:rFonts w:cstheme="minorHAnsi"/>
          <w:noProof/>
          <w:sz w:val="24"/>
          <w:szCs w:val="24"/>
        </w:rPr>
      </w:pPr>
      <w:r w:rsidRPr="00FE7997">
        <w:rPr>
          <w:rFonts w:cstheme="minorHAnsi"/>
          <w:noProof/>
          <w:sz w:val="24"/>
          <w:szCs w:val="24"/>
        </w:rPr>
        <w:t xml:space="preserve">Der </w:t>
      </w:r>
      <w:r w:rsidR="005B61A3" w:rsidRPr="00FE7997">
        <w:rPr>
          <w:rFonts w:cstheme="minorHAnsi"/>
          <w:noProof/>
          <w:sz w:val="24"/>
          <w:szCs w:val="24"/>
        </w:rPr>
        <w:t>dichte, rispige Blütenstand besteht aus</w:t>
      </w:r>
      <w:r w:rsidR="00122322" w:rsidRPr="00FE7997">
        <w:rPr>
          <w:rFonts w:cstheme="minorHAnsi"/>
          <w:noProof/>
          <w:sz w:val="24"/>
          <w:szCs w:val="24"/>
        </w:rPr>
        <w:t xml:space="preserve"> Körbchen mit</w:t>
      </w:r>
      <w:r w:rsidR="005B61A3" w:rsidRPr="00FE7997">
        <w:rPr>
          <w:rFonts w:cstheme="minorHAnsi"/>
          <w:noProof/>
          <w:sz w:val="24"/>
          <w:szCs w:val="24"/>
        </w:rPr>
        <w:t xml:space="preserve"> weißen Röhrenblüten</w:t>
      </w:r>
      <w:r w:rsidR="00122322" w:rsidRPr="00FE7997">
        <w:rPr>
          <w:rFonts w:cstheme="minorHAnsi"/>
          <w:noProof/>
          <w:sz w:val="24"/>
          <w:szCs w:val="24"/>
        </w:rPr>
        <w:t>.</w:t>
      </w:r>
    </w:p>
    <w:p w14:paraId="538EAC4C" w14:textId="04946B87" w:rsidR="002127CD" w:rsidRPr="00FE7997" w:rsidRDefault="00671E08">
      <w:pPr>
        <w:rPr>
          <w:rFonts w:cstheme="minorHAnsi"/>
          <w:sz w:val="24"/>
          <w:szCs w:val="24"/>
        </w:rPr>
      </w:pPr>
      <w:r w:rsidRPr="00FE7997">
        <w:rPr>
          <w:rFonts w:cstheme="minorHAnsi"/>
          <w:b/>
          <w:bCs/>
          <w:noProof/>
          <w:sz w:val="24"/>
          <w:szCs w:val="24"/>
        </w:rPr>
        <w:t>Ökologie:</w:t>
      </w:r>
      <w:r w:rsidR="00214075" w:rsidRPr="00FE7997">
        <w:rPr>
          <w:rFonts w:cstheme="minorHAnsi"/>
          <w:noProof/>
          <w:sz w:val="24"/>
          <w:szCs w:val="24"/>
        </w:rPr>
        <w:t xml:space="preserve"> </w:t>
      </w:r>
      <w:proofErr w:type="spellStart"/>
      <w:r w:rsidR="00737864" w:rsidRPr="00FE7997">
        <w:rPr>
          <w:rFonts w:cstheme="minorHAnsi"/>
          <w:i/>
          <w:iCs/>
          <w:sz w:val="24"/>
          <w:szCs w:val="24"/>
        </w:rPr>
        <w:t>Petasites</w:t>
      </w:r>
      <w:proofErr w:type="spellEnd"/>
      <w:r w:rsidR="00737864" w:rsidRPr="00FE7997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="00737864" w:rsidRPr="00FE7997">
        <w:rPr>
          <w:rFonts w:cstheme="minorHAnsi"/>
          <w:i/>
          <w:iCs/>
          <w:sz w:val="24"/>
          <w:szCs w:val="24"/>
        </w:rPr>
        <w:t>albus</w:t>
      </w:r>
      <w:proofErr w:type="spellEnd"/>
      <w:r w:rsidR="00737864" w:rsidRPr="00FE7997">
        <w:rPr>
          <w:rFonts w:cstheme="minorHAnsi"/>
          <w:i/>
          <w:iCs/>
          <w:sz w:val="24"/>
          <w:szCs w:val="24"/>
        </w:rPr>
        <w:t xml:space="preserve"> </w:t>
      </w:r>
      <w:r w:rsidR="00737864" w:rsidRPr="00FE7997">
        <w:rPr>
          <w:rFonts w:cstheme="minorHAnsi"/>
          <w:sz w:val="24"/>
          <w:szCs w:val="24"/>
        </w:rPr>
        <w:t xml:space="preserve">kommt an Bachufern, in Hochstaudenfluren, </w:t>
      </w:r>
      <w:r w:rsidR="0026337A" w:rsidRPr="00FE7997">
        <w:rPr>
          <w:rFonts w:cstheme="minorHAnsi"/>
          <w:sz w:val="24"/>
          <w:szCs w:val="24"/>
        </w:rPr>
        <w:t>an feuchten Hängen, in sickerfeuchten, lehmreichen Laubwäldern, in Auwäldern und an Forststraßen vor.</w:t>
      </w:r>
    </w:p>
    <w:p w14:paraId="47B76FEA" w14:textId="77777777" w:rsidR="00FE7997" w:rsidRPr="00FE7997" w:rsidRDefault="00FE7997" w:rsidP="00FE7997">
      <w:pPr>
        <w:rPr>
          <w:rFonts w:cstheme="minorHAnsi"/>
          <w:noProof/>
          <w:sz w:val="24"/>
          <w:szCs w:val="24"/>
        </w:rPr>
      </w:pPr>
      <w:r w:rsidRPr="00FE7997">
        <w:rPr>
          <w:rFonts w:cstheme="minorHAnsi"/>
          <w:b/>
          <w:bCs/>
          <w:noProof/>
          <w:sz w:val="24"/>
          <w:szCs w:val="24"/>
        </w:rPr>
        <w:t>Blütezeit:</w:t>
      </w:r>
      <w:r w:rsidRPr="00FE7997">
        <w:rPr>
          <w:rFonts w:cstheme="minorHAnsi"/>
          <w:noProof/>
          <w:sz w:val="24"/>
          <w:szCs w:val="24"/>
        </w:rPr>
        <w:t xml:space="preserve"> (Februar) März bis Mai</w:t>
      </w:r>
    </w:p>
    <w:p w14:paraId="67595C4E" w14:textId="1EC07814" w:rsidR="0026337A" w:rsidRPr="00FE7997" w:rsidRDefault="0026337A">
      <w:pPr>
        <w:rPr>
          <w:rFonts w:cstheme="minorHAnsi"/>
          <w:sz w:val="24"/>
          <w:szCs w:val="24"/>
        </w:rPr>
      </w:pPr>
      <w:r w:rsidRPr="00FE7997">
        <w:rPr>
          <w:rFonts w:cstheme="minorHAnsi"/>
          <w:b/>
          <w:bCs/>
          <w:sz w:val="24"/>
          <w:szCs w:val="24"/>
        </w:rPr>
        <w:t>Höhenstufe:</w:t>
      </w:r>
      <w:r w:rsidRPr="00FE7997">
        <w:rPr>
          <w:rFonts w:cstheme="minorHAnsi"/>
          <w:sz w:val="24"/>
          <w:szCs w:val="24"/>
        </w:rPr>
        <w:t xml:space="preserve"> (sub</w:t>
      </w:r>
      <w:r w:rsidR="00EA7AC0" w:rsidRPr="00FE7997">
        <w:rPr>
          <w:rFonts w:cstheme="minorHAnsi"/>
          <w:sz w:val="24"/>
          <w:szCs w:val="24"/>
        </w:rPr>
        <w:t>montan) montan</w:t>
      </w:r>
    </w:p>
    <w:p w14:paraId="0F402866" w14:textId="77777777" w:rsidR="00FE7997" w:rsidRPr="00933E0C" w:rsidRDefault="00FE7997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933E0C">
        <w:rPr>
          <w:rFonts w:cstheme="minorHAnsi"/>
          <w:noProof/>
          <w:sz w:val="24"/>
          <w:szCs w:val="24"/>
          <w:lang w:val="en-US"/>
        </w:rPr>
        <w:t>LC</w:t>
      </w:r>
    </w:p>
    <w:p w14:paraId="2B5A7B51" w14:textId="77777777" w:rsidR="00FE7997" w:rsidRPr="00933E0C" w:rsidRDefault="00FE7997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933E0C">
        <w:rPr>
          <w:rFonts w:cstheme="minorHAnsi"/>
          <w:noProof/>
          <w:sz w:val="24"/>
          <w:szCs w:val="24"/>
          <w:lang w:val="en-US"/>
        </w:rPr>
        <w:t xml:space="preserve"> LC</w:t>
      </w:r>
    </w:p>
    <w:p w14:paraId="493996FC" w14:textId="77777777" w:rsidR="00FE7997" w:rsidRPr="00F21DE8" w:rsidRDefault="00FE7997" w:rsidP="00FE7997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73" w:tblpY="125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EE01F5" w:rsidRPr="00FE7997" w14:paraId="7E5BDB69" w14:textId="77777777" w:rsidTr="00EE01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5F445" w14:textId="77777777" w:rsidR="00EE01F5" w:rsidRPr="00FE7997" w:rsidRDefault="00EE01F5" w:rsidP="00EE01F5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E7997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8D61B" w14:textId="77777777" w:rsidR="00EE01F5" w:rsidRPr="00FE7997" w:rsidRDefault="00EE01F5" w:rsidP="00EE01F5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E7997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AAEE3" w14:textId="77777777" w:rsidR="00EE01F5" w:rsidRPr="00FE7997" w:rsidRDefault="00EE01F5" w:rsidP="00EE01F5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E7997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41593" w14:textId="77777777" w:rsidR="00EE01F5" w:rsidRPr="00FE7997" w:rsidRDefault="00EE01F5" w:rsidP="00EE01F5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E7997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CA3CE" w14:textId="77777777" w:rsidR="00EE01F5" w:rsidRPr="00FE7997" w:rsidRDefault="00EE01F5" w:rsidP="00EE01F5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E7997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51C56" w14:textId="77777777" w:rsidR="00EE01F5" w:rsidRPr="00FE7997" w:rsidRDefault="00EE01F5" w:rsidP="00EE01F5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E7997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CC484" w14:textId="77777777" w:rsidR="00EE01F5" w:rsidRPr="00FE7997" w:rsidRDefault="00EE01F5" w:rsidP="00EE01F5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E7997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EE01F5" w:rsidRPr="00FE7997" w14:paraId="690E9415" w14:textId="77777777" w:rsidTr="00EE01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FD34B8" w14:textId="77777777" w:rsidR="00EE01F5" w:rsidRPr="00FE7997" w:rsidRDefault="00EE01F5" w:rsidP="00EE01F5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E7997">
              <w:rPr>
                <w:rFonts w:cstheme="minorHAnsi"/>
                <w:kern w:val="2"/>
                <w:sz w:val="24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C4E23" w14:textId="77777777" w:rsidR="00EE01F5" w:rsidRPr="00FE7997" w:rsidRDefault="00EE01F5" w:rsidP="00EE01F5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E7997">
              <w:rPr>
                <w:rFonts w:cstheme="minorHAnsi"/>
                <w:kern w:val="2"/>
                <w:sz w:val="24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AE5FA5" w14:textId="77777777" w:rsidR="00EE01F5" w:rsidRPr="00FE7997" w:rsidRDefault="00EE01F5" w:rsidP="00EE01F5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E7997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9808FE" w14:textId="77777777" w:rsidR="00EE01F5" w:rsidRPr="00FE7997" w:rsidRDefault="00EE01F5" w:rsidP="00EE01F5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E7997">
              <w:rPr>
                <w:rFonts w:cstheme="minorHAnsi"/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DE01F" w14:textId="77777777" w:rsidR="00EE01F5" w:rsidRPr="00FE7997" w:rsidRDefault="00EE01F5" w:rsidP="00EE01F5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E7997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ABFC07" w14:textId="77777777" w:rsidR="00EE01F5" w:rsidRPr="00FE7997" w:rsidRDefault="00EE01F5" w:rsidP="00EE01F5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E7997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F04833" w14:textId="77777777" w:rsidR="00EE01F5" w:rsidRPr="00FE7997" w:rsidRDefault="00EE01F5" w:rsidP="00EE01F5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E7997">
              <w:rPr>
                <w:rFonts w:cstheme="minorHAnsi"/>
                <w:kern w:val="2"/>
                <w:sz w:val="24"/>
                <w14:ligatures w14:val="standardContextual"/>
              </w:rPr>
              <w:t>0</w:t>
            </w:r>
          </w:p>
        </w:tc>
      </w:tr>
    </w:tbl>
    <w:p w14:paraId="2F619215" w14:textId="77777777" w:rsidR="007519B7" w:rsidRPr="00FE7997" w:rsidRDefault="007519B7">
      <w:pPr>
        <w:rPr>
          <w:rFonts w:cstheme="minorHAnsi"/>
          <w:sz w:val="24"/>
          <w:szCs w:val="24"/>
        </w:rPr>
      </w:pPr>
    </w:p>
    <w:p w14:paraId="62B34E8F" w14:textId="77777777" w:rsidR="00EE01F5" w:rsidRPr="00FE7997" w:rsidRDefault="007519B7">
      <w:pPr>
        <w:rPr>
          <w:rFonts w:cstheme="minorHAnsi"/>
          <w:b/>
          <w:bCs/>
          <w:sz w:val="24"/>
          <w:szCs w:val="24"/>
        </w:rPr>
      </w:pPr>
      <w:r w:rsidRPr="00FE7997">
        <w:rPr>
          <w:rFonts w:cstheme="minorHAnsi"/>
          <w:b/>
          <w:bCs/>
          <w:sz w:val="24"/>
          <w:szCs w:val="24"/>
        </w:rPr>
        <w:t xml:space="preserve">Zeigerwerte: </w:t>
      </w:r>
    </w:p>
    <w:p w14:paraId="772BB4EC" w14:textId="4FFAC70E" w:rsidR="007519B7" w:rsidRPr="007519B7" w:rsidRDefault="007519B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519B7" w:rsidRPr="007519B7" w:rsidSect="00671E08">
      <w:headerReference w:type="default" r:id="rId10"/>
      <w:footerReference w:type="default" r:id="rId11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2A8FC" w14:textId="77777777" w:rsidR="00AF67C1" w:rsidRDefault="00AF67C1" w:rsidP="00671E08">
      <w:pPr>
        <w:spacing w:after="0" w:line="240" w:lineRule="auto"/>
      </w:pPr>
      <w:r>
        <w:separator/>
      </w:r>
    </w:p>
  </w:endnote>
  <w:endnote w:type="continuationSeparator" w:id="0">
    <w:p w14:paraId="52DC1A13" w14:textId="77777777" w:rsidR="00AF67C1" w:rsidRDefault="00AF67C1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86732" w14:textId="77777777" w:rsidR="00FE7997" w:rsidRPr="009F1BF4" w:rsidRDefault="00FE7997" w:rsidP="00FE7997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609BE9F7" w14:textId="77777777" w:rsidR="00FE7997" w:rsidRPr="009F1BF4" w:rsidRDefault="00FE7997" w:rsidP="00FE7997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5B21DF93" w14:textId="1D95B199" w:rsidR="00FE7997" w:rsidRDefault="00FE7997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8CC92" w14:textId="77777777" w:rsidR="00AF67C1" w:rsidRDefault="00AF67C1" w:rsidP="00671E08">
      <w:pPr>
        <w:spacing w:after="0" w:line="240" w:lineRule="auto"/>
      </w:pPr>
      <w:r>
        <w:separator/>
      </w:r>
    </w:p>
  </w:footnote>
  <w:footnote w:type="continuationSeparator" w:id="0">
    <w:p w14:paraId="66AE241E" w14:textId="77777777" w:rsidR="00AF67C1" w:rsidRDefault="00AF67C1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0478B8E9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36F9D"/>
    <w:rsid w:val="00075BE2"/>
    <w:rsid w:val="00122322"/>
    <w:rsid w:val="001305F5"/>
    <w:rsid w:val="00131467"/>
    <w:rsid w:val="00134AA7"/>
    <w:rsid w:val="00150FF2"/>
    <w:rsid w:val="00180003"/>
    <w:rsid w:val="0018504B"/>
    <w:rsid w:val="001B75F1"/>
    <w:rsid w:val="002127CD"/>
    <w:rsid w:val="00214075"/>
    <w:rsid w:val="002459D8"/>
    <w:rsid w:val="0026337A"/>
    <w:rsid w:val="00277DC0"/>
    <w:rsid w:val="00323AF6"/>
    <w:rsid w:val="003506C6"/>
    <w:rsid w:val="003759D7"/>
    <w:rsid w:val="003C289A"/>
    <w:rsid w:val="003F4D2F"/>
    <w:rsid w:val="004206BC"/>
    <w:rsid w:val="004A1D68"/>
    <w:rsid w:val="004A79CD"/>
    <w:rsid w:val="004B3621"/>
    <w:rsid w:val="004D33F6"/>
    <w:rsid w:val="004D390C"/>
    <w:rsid w:val="004D5FB7"/>
    <w:rsid w:val="00537F05"/>
    <w:rsid w:val="00543622"/>
    <w:rsid w:val="00546BCA"/>
    <w:rsid w:val="00561EAC"/>
    <w:rsid w:val="00564C62"/>
    <w:rsid w:val="005837D2"/>
    <w:rsid w:val="005A4AF9"/>
    <w:rsid w:val="005B61A3"/>
    <w:rsid w:val="005C099A"/>
    <w:rsid w:val="005D730C"/>
    <w:rsid w:val="00635D30"/>
    <w:rsid w:val="00671E08"/>
    <w:rsid w:val="00681684"/>
    <w:rsid w:val="00681865"/>
    <w:rsid w:val="00683B1A"/>
    <w:rsid w:val="006E2212"/>
    <w:rsid w:val="00737864"/>
    <w:rsid w:val="007519B7"/>
    <w:rsid w:val="00757CDB"/>
    <w:rsid w:val="007B3EE2"/>
    <w:rsid w:val="007C4393"/>
    <w:rsid w:val="007F5376"/>
    <w:rsid w:val="007F73A5"/>
    <w:rsid w:val="008154AC"/>
    <w:rsid w:val="008311FB"/>
    <w:rsid w:val="009800CD"/>
    <w:rsid w:val="009F7A15"/>
    <w:rsid w:val="00A02CC1"/>
    <w:rsid w:val="00A542F9"/>
    <w:rsid w:val="00AC64DD"/>
    <w:rsid w:val="00AF67C1"/>
    <w:rsid w:val="00B5349C"/>
    <w:rsid w:val="00B5754B"/>
    <w:rsid w:val="00B61D4B"/>
    <w:rsid w:val="00BA0633"/>
    <w:rsid w:val="00BA52E1"/>
    <w:rsid w:val="00BD56DF"/>
    <w:rsid w:val="00BF420B"/>
    <w:rsid w:val="00C040F9"/>
    <w:rsid w:val="00C12E7B"/>
    <w:rsid w:val="00C41E4E"/>
    <w:rsid w:val="00C907AC"/>
    <w:rsid w:val="00CE49A2"/>
    <w:rsid w:val="00D61C22"/>
    <w:rsid w:val="00D73DFC"/>
    <w:rsid w:val="00DA4CB2"/>
    <w:rsid w:val="00DE2C63"/>
    <w:rsid w:val="00EA7AC0"/>
    <w:rsid w:val="00EE01F5"/>
    <w:rsid w:val="00F46D4D"/>
    <w:rsid w:val="00FE7997"/>
    <w:rsid w:val="00FF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EE01F5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73</cp:revision>
  <dcterms:created xsi:type="dcterms:W3CDTF">2023-07-21T12:24:00Z</dcterms:created>
  <dcterms:modified xsi:type="dcterms:W3CDTF">2024-10-29T08:36:00Z</dcterms:modified>
</cp:coreProperties>
</file>