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63A39F1F" w:rsidR="00671E08" w:rsidRPr="00832127" w:rsidRDefault="002F3B7E" w:rsidP="00671E08">
      <w:pPr>
        <w:rPr>
          <w:rFonts w:cstheme="minorHAnsi"/>
          <w:b/>
          <w:bCs/>
          <w:noProof/>
          <w:sz w:val="32"/>
          <w:szCs w:val="32"/>
        </w:rPr>
      </w:pPr>
      <w:r w:rsidRPr="00832127">
        <w:rPr>
          <w:rFonts w:cstheme="minorHAnsi"/>
          <w:b/>
          <w:bCs/>
          <w:i/>
          <w:iCs/>
          <w:noProof/>
          <w:sz w:val="32"/>
          <w:szCs w:val="32"/>
        </w:rPr>
        <w:t>Geum rivale</w:t>
      </w:r>
      <w:r w:rsidR="00671E08" w:rsidRPr="00832127">
        <w:rPr>
          <w:rFonts w:cstheme="minorHAnsi"/>
          <w:b/>
          <w:bCs/>
          <w:i/>
          <w:iCs/>
          <w:noProof/>
          <w:sz w:val="32"/>
          <w:szCs w:val="32"/>
        </w:rPr>
        <w:t>,</w:t>
      </w:r>
      <w:r w:rsidR="00DE2C63" w:rsidRPr="0083212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  <w:r w:rsidRPr="00832127">
        <w:rPr>
          <w:rFonts w:cstheme="minorHAnsi"/>
          <w:b/>
          <w:bCs/>
          <w:noProof/>
          <w:sz w:val="32"/>
          <w:szCs w:val="32"/>
        </w:rPr>
        <w:t>Bach-Nelkenwurz</w:t>
      </w:r>
      <w:r w:rsidR="00671E08" w:rsidRPr="00832127">
        <w:rPr>
          <w:rFonts w:cstheme="minorHAnsi"/>
          <w:b/>
          <w:bCs/>
          <w:i/>
          <w:iCs/>
          <w:noProof/>
          <w:sz w:val="32"/>
          <w:szCs w:val="32"/>
        </w:rPr>
        <w:t xml:space="preserve"> </w:t>
      </w:r>
    </w:p>
    <w:p w14:paraId="03B79424" w14:textId="44D0D0EF" w:rsidR="00671E08" w:rsidRPr="00832127" w:rsidRDefault="007B3EE2" w:rsidP="00671E08">
      <w:pPr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noProof/>
          <w:sz w:val="24"/>
          <w:szCs w:val="24"/>
        </w:rPr>
        <w:t>[</w:t>
      </w:r>
      <w:r w:rsidR="002F3B7E" w:rsidRPr="00832127">
        <w:rPr>
          <w:rFonts w:cstheme="minorHAnsi"/>
          <w:noProof/>
          <w:sz w:val="24"/>
          <w:szCs w:val="24"/>
        </w:rPr>
        <w:t>Rosaceae, Rosengewächse</w:t>
      </w:r>
      <w:r w:rsidR="00671E08" w:rsidRPr="00832127">
        <w:rPr>
          <w:rFonts w:cstheme="minorHAnsi"/>
          <w:noProof/>
          <w:sz w:val="24"/>
          <w:szCs w:val="24"/>
        </w:rPr>
        <w:t>]</w:t>
      </w:r>
    </w:p>
    <w:p w14:paraId="4FCD9DFB" w14:textId="77777777" w:rsidR="004E67BA" w:rsidRPr="00832127" w:rsidRDefault="004E67BA" w:rsidP="00671E08">
      <w:pPr>
        <w:rPr>
          <w:rFonts w:cstheme="minorHAnsi"/>
          <w:noProof/>
          <w:sz w:val="24"/>
          <w:szCs w:val="24"/>
        </w:rPr>
      </w:pPr>
    </w:p>
    <w:p w14:paraId="34BAD729" w14:textId="3D494B01" w:rsidR="00671E08" w:rsidRPr="00832127" w:rsidRDefault="00754E6E" w:rsidP="004E67BA">
      <w:pPr>
        <w:jc w:val="center"/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noProof/>
          <w:sz w:val="24"/>
          <w:szCs w:val="24"/>
        </w:rPr>
        <w:drawing>
          <wp:inline distT="0" distB="0" distL="0" distR="0" wp14:anchorId="32F48079" wp14:editId="693794B9">
            <wp:extent cx="1706761" cy="2179320"/>
            <wp:effectExtent l="0" t="0" r="8255" b="0"/>
            <wp:docPr id="2082974633" name="Grafik 1" descr="Ein Bild, das Pflanze, Blume, draußen, Gra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74633" name="Grafik 1" descr="Ein Bild, das Pflanze, Blume, draußen, Gras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7" t="12669" r="21164" b="-595"/>
                    <a:stretch/>
                  </pic:blipFill>
                  <pic:spPr bwMode="auto">
                    <a:xfrm>
                      <a:off x="0" y="0"/>
                      <a:ext cx="1740173" cy="222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7533" w:rsidRPr="00832127">
        <w:rPr>
          <w:rFonts w:cstheme="minorHAnsi"/>
          <w:noProof/>
          <w:sz w:val="24"/>
          <w:szCs w:val="24"/>
        </w:rPr>
        <w:t xml:space="preserve">   </w:t>
      </w:r>
      <w:r w:rsidRPr="00832127">
        <w:rPr>
          <w:rFonts w:cstheme="minorHAnsi"/>
          <w:noProof/>
          <w:sz w:val="24"/>
          <w:szCs w:val="24"/>
        </w:rPr>
        <w:drawing>
          <wp:inline distT="0" distB="0" distL="0" distR="0" wp14:anchorId="5E264840" wp14:editId="32E3D38D">
            <wp:extent cx="2179320" cy="2186721"/>
            <wp:effectExtent l="0" t="0" r="0" b="4445"/>
            <wp:docPr id="610210567" name="Grafik 2" descr="Ein Bild, das Pflanze, draußen, Makrofotografie, Blum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10567" name="Grafik 2" descr="Ein Bild, das Pflanze, draußen, Makrofotografie, Blum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4" t="2970" r="28836" b="3707"/>
                    <a:stretch/>
                  </pic:blipFill>
                  <pic:spPr bwMode="auto">
                    <a:xfrm>
                      <a:off x="0" y="0"/>
                      <a:ext cx="2216145" cy="222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4A28C4" w14:textId="77777777" w:rsidR="004E67BA" w:rsidRPr="00832127" w:rsidRDefault="004E67BA" w:rsidP="00671E08">
      <w:pPr>
        <w:rPr>
          <w:rFonts w:cstheme="minorHAnsi"/>
          <w:noProof/>
        </w:rPr>
      </w:pPr>
    </w:p>
    <w:p w14:paraId="2EC3A42F" w14:textId="043C1E38" w:rsidR="00907831" w:rsidRPr="00832127" w:rsidRDefault="00671E08" w:rsidP="00671E08">
      <w:pPr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832127">
        <w:rPr>
          <w:rFonts w:cstheme="minorHAnsi"/>
          <w:noProof/>
          <w:sz w:val="24"/>
          <w:szCs w:val="24"/>
        </w:rPr>
        <w:t xml:space="preserve"> </w:t>
      </w:r>
      <w:r w:rsidR="00907831" w:rsidRPr="00832127">
        <w:rPr>
          <w:rFonts w:cstheme="minorHAnsi"/>
          <w:noProof/>
          <w:sz w:val="24"/>
          <w:szCs w:val="24"/>
        </w:rPr>
        <w:t xml:space="preserve">Dieser ausdauernde Hemikryptophyt erreicht eine Höhe von </w:t>
      </w:r>
      <w:r w:rsidR="007B1670" w:rsidRPr="00832127">
        <w:rPr>
          <w:rFonts w:cstheme="minorHAnsi"/>
          <w:noProof/>
          <w:sz w:val="24"/>
          <w:szCs w:val="24"/>
        </w:rPr>
        <w:t>30-100</w:t>
      </w:r>
      <w:r w:rsidR="004E67BA" w:rsidRPr="00832127">
        <w:rPr>
          <w:rFonts w:cstheme="minorHAnsi"/>
          <w:noProof/>
          <w:sz w:val="24"/>
          <w:szCs w:val="24"/>
        </w:rPr>
        <w:t xml:space="preserve"> </w:t>
      </w:r>
      <w:r w:rsidR="007B1670" w:rsidRPr="00832127">
        <w:rPr>
          <w:rFonts w:cstheme="minorHAnsi"/>
          <w:noProof/>
          <w:sz w:val="24"/>
          <w:szCs w:val="24"/>
        </w:rPr>
        <w:t>cm und bildet ein waagrechtes, geruchsloses Rhizom.</w:t>
      </w:r>
    </w:p>
    <w:p w14:paraId="4A3A0368" w14:textId="2C3FB1C2" w:rsidR="00671E08" w:rsidRPr="00832127" w:rsidRDefault="00DA0988" w:rsidP="00671E08">
      <w:pPr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noProof/>
          <w:sz w:val="24"/>
          <w:szCs w:val="24"/>
        </w:rPr>
        <w:t xml:space="preserve">Die </w:t>
      </w:r>
      <w:r w:rsidR="009D5091" w:rsidRPr="00832127">
        <w:rPr>
          <w:rFonts w:cstheme="minorHAnsi"/>
          <w:noProof/>
          <w:sz w:val="24"/>
          <w:szCs w:val="24"/>
        </w:rPr>
        <w:t>Grundblätter</w:t>
      </w:r>
      <w:r w:rsidRPr="00832127">
        <w:rPr>
          <w:rFonts w:cstheme="minorHAnsi"/>
          <w:noProof/>
          <w:sz w:val="24"/>
          <w:szCs w:val="24"/>
        </w:rPr>
        <w:t xml:space="preserve"> sind meist </w:t>
      </w:r>
      <w:r w:rsidR="006D678B" w:rsidRPr="00832127">
        <w:rPr>
          <w:rFonts w:cstheme="minorHAnsi"/>
          <w:noProof/>
          <w:sz w:val="24"/>
          <w:szCs w:val="24"/>
        </w:rPr>
        <w:t xml:space="preserve">lang gestielt und </w:t>
      </w:r>
      <w:r w:rsidRPr="00832127">
        <w:rPr>
          <w:rFonts w:cstheme="minorHAnsi"/>
          <w:noProof/>
          <w:sz w:val="24"/>
          <w:szCs w:val="24"/>
        </w:rPr>
        <w:t>unterbrochen gefiedert.</w:t>
      </w:r>
      <w:r w:rsidR="006D678B" w:rsidRPr="00832127">
        <w:rPr>
          <w:rFonts w:cstheme="minorHAnsi"/>
          <w:noProof/>
          <w:sz w:val="24"/>
          <w:szCs w:val="24"/>
        </w:rPr>
        <w:t xml:space="preserve"> Die Stängelblätter sind meist</w:t>
      </w:r>
      <w:r w:rsidR="00613EF1" w:rsidRPr="00832127">
        <w:rPr>
          <w:rFonts w:cstheme="minorHAnsi"/>
          <w:noProof/>
          <w:sz w:val="24"/>
          <w:szCs w:val="24"/>
        </w:rPr>
        <w:t xml:space="preserve"> 3-</w:t>
      </w:r>
      <w:r w:rsidR="006D678B" w:rsidRPr="00832127">
        <w:rPr>
          <w:rFonts w:cstheme="minorHAnsi"/>
          <w:noProof/>
          <w:sz w:val="24"/>
          <w:szCs w:val="24"/>
        </w:rPr>
        <w:t>teilig.</w:t>
      </w:r>
    </w:p>
    <w:p w14:paraId="624E3A54" w14:textId="05162996" w:rsidR="00DA0988" w:rsidRPr="00832127" w:rsidRDefault="009D031F" w:rsidP="00671E08">
      <w:pPr>
        <w:rPr>
          <w:rFonts w:cstheme="minorHAnsi"/>
          <w:iCs/>
          <w:noProof/>
          <w:sz w:val="24"/>
          <w:szCs w:val="24"/>
        </w:rPr>
      </w:pPr>
      <w:r w:rsidRPr="00832127">
        <w:rPr>
          <w:rFonts w:cstheme="minorHAnsi"/>
          <w:noProof/>
          <w:sz w:val="24"/>
          <w:szCs w:val="24"/>
        </w:rPr>
        <w:t>Die nickenden Blüten richten sich zur Fruchtreife auf. Die Blütenstiele</w:t>
      </w:r>
      <w:r w:rsidR="009E5DD0" w:rsidRPr="00832127">
        <w:rPr>
          <w:rFonts w:cstheme="minorHAnsi"/>
          <w:noProof/>
          <w:sz w:val="24"/>
          <w:szCs w:val="24"/>
        </w:rPr>
        <w:t xml:space="preserve"> sind drüsig behaart.</w:t>
      </w:r>
      <w:r w:rsidR="00E87CDB" w:rsidRPr="00832127">
        <w:rPr>
          <w:rFonts w:cstheme="minorHAnsi"/>
          <w:noProof/>
          <w:sz w:val="24"/>
          <w:szCs w:val="24"/>
        </w:rPr>
        <w:t xml:space="preserve"> </w:t>
      </w:r>
      <w:r w:rsidR="003D2666" w:rsidRPr="00832127">
        <w:rPr>
          <w:rFonts w:cstheme="minorHAnsi"/>
          <w:noProof/>
          <w:sz w:val="24"/>
          <w:szCs w:val="24"/>
        </w:rPr>
        <w:t>Die Kelchblätter sind purpurbraun und die</w:t>
      </w:r>
      <w:r w:rsidR="00E87CDB" w:rsidRPr="00832127">
        <w:rPr>
          <w:rFonts w:cstheme="minorHAnsi"/>
          <w:noProof/>
          <w:sz w:val="24"/>
          <w:szCs w:val="24"/>
        </w:rPr>
        <w:t xml:space="preserve"> Kronblätter sind </w:t>
      </w:r>
      <w:r w:rsidR="00613EF1" w:rsidRPr="00832127">
        <w:rPr>
          <w:rFonts w:cstheme="minorHAnsi"/>
          <w:noProof/>
          <w:sz w:val="24"/>
          <w:szCs w:val="24"/>
        </w:rPr>
        <w:t>i</w:t>
      </w:r>
      <w:r w:rsidR="00E87CDB" w:rsidRPr="00832127">
        <w:rPr>
          <w:rFonts w:cstheme="minorHAnsi"/>
          <w:noProof/>
          <w:sz w:val="24"/>
          <w:szCs w:val="24"/>
        </w:rPr>
        <w:t>nnen blassgelb</w:t>
      </w:r>
      <w:r w:rsidR="00FD19E4" w:rsidRPr="00832127">
        <w:rPr>
          <w:rFonts w:cstheme="minorHAnsi"/>
          <w:noProof/>
          <w:sz w:val="24"/>
          <w:szCs w:val="24"/>
        </w:rPr>
        <w:t xml:space="preserve"> und </w:t>
      </w:r>
      <w:r w:rsidR="00E87CDB" w:rsidRPr="00832127">
        <w:rPr>
          <w:rFonts w:cstheme="minorHAnsi"/>
          <w:noProof/>
          <w:sz w:val="24"/>
          <w:szCs w:val="24"/>
        </w:rPr>
        <w:t>zum Rand hin röt</w:t>
      </w:r>
      <w:r w:rsidR="008E4473" w:rsidRPr="00832127">
        <w:rPr>
          <w:rFonts w:cstheme="minorHAnsi"/>
          <w:noProof/>
          <w:sz w:val="24"/>
          <w:szCs w:val="24"/>
        </w:rPr>
        <w:t>lich.</w:t>
      </w:r>
      <w:r w:rsidR="00601214" w:rsidRPr="00832127">
        <w:rPr>
          <w:rFonts w:cstheme="minorHAnsi"/>
          <w:noProof/>
          <w:sz w:val="24"/>
          <w:szCs w:val="24"/>
        </w:rPr>
        <w:t xml:space="preserve"> Der Griffel endet wie bei </w:t>
      </w:r>
      <w:r w:rsidR="00601214" w:rsidRPr="00832127">
        <w:rPr>
          <w:rFonts w:cstheme="minorHAnsi"/>
          <w:i/>
          <w:noProof/>
          <w:sz w:val="24"/>
          <w:szCs w:val="24"/>
        </w:rPr>
        <w:t xml:space="preserve">G. urbanum </w:t>
      </w:r>
      <w:r w:rsidR="00601214" w:rsidRPr="00832127">
        <w:rPr>
          <w:rFonts w:cstheme="minorHAnsi"/>
          <w:iCs/>
          <w:noProof/>
          <w:sz w:val="24"/>
          <w:szCs w:val="24"/>
        </w:rPr>
        <w:t>in einem Haken.</w:t>
      </w:r>
    </w:p>
    <w:p w14:paraId="4DE213D4" w14:textId="613ED17D" w:rsidR="00671E08" w:rsidRPr="00832127" w:rsidRDefault="00671E08" w:rsidP="00671E08">
      <w:pPr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b/>
          <w:bCs/>
          <w:noProof/>
          <w:sz w:val="24"/>
          <w:szCs w:val="24"/>
        </w:rPr>
        <w:t>Ökologie:</w:t>
      </w:r>
      <w:r w:rsidRPr="00832127">
        <w:rPr>
          <w:rFonts w:cstheme="minorHAnsi"/>
          <w:noProof/>
          <w:sz w:val="24"/>
          <w:szCs w:val="24"/>
        </w:rPr>
        <w:t xml:space="preserve"> </w:t>
      </w:r>
      <w:r w:rsidR="00000D36" w:rsidRPr="00832127">
        <w:rPr>
          <w:rFonts w:cstheme="minorHAnsi"/>
          <w:i/>
          <w:iCs/>
          <w:noProof/>
          <w:sz w:val="24"/>
          <w:szCs w:val="24"/>
        </w:rPr>
        <w:t xml:space="preserve">Geum rivale </w:t>
      </w:r>
      <w:r w:rsidR="00000D36" w:rsidRPr="00832127">
        <w:rPr>
          <w:rFonts w:cstheme="minorHAnsi"/>
          <w:noProof/>
          <w:sz w:val="24"/>
          <w:szCs w:val="24"/>
        </w:rPr>
        <w:t>kommt an Bachufern und in Hochstaudenfluren vor.</w:t>
      </w:r>
    </w:p>
    <w:p w14:paraId="185176E6" w14:textId="77777777" w:rsidR="00564B45" w:rsidRPr="00832127" w:rsidRDefault="00564B45" w:rsidP="00564B45">
      <w:pPr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b/>
          <w:bCs/>
          <w:noProof/>
          <w:sz w:val="24"/>
          <w:szCs w:val="24"/>
        </w:rPr>
        <w:t>Blütezeit:</w:t>
      </w:r>
      <w:r w:rsidRPr="00832127">
        <w:rPr>
          <w:rFonts w:cstheme="minorHAnsi"/>
          <w:noProof/>
          <w:sz w:val="24"/>
          <w:szCs w:val="24"/>
        </w:rPr>
        <w:t xml:space="preserve"> Mai bis Juli</w:t>
      </w:r>
    </w:p>
    <w:p w14:paraId="538EAC4C" w14:textId="118003FF" w:rsidR="002127CD" w:rsidRPr="00832127" w:rsidRDefault="000176C7">
      <w:pPr>
        <w:rPr>
          <w:rFonts w:cstheme="minorHAnsi"/>
          <w:sz w:val="24"/>
          <w:szCs w:val="24"/>
        </w:rPr>
      </w:pPr>
      <w:r w:rsidRPr="00832127">
        <w:rPr>
          <w:rFonts w:cstheme="minorHAnsi"/>
          <w:b/>
          <w:bCs/>
          <w:sz w:val="24"/>
          <w:szCs w:val="24"/>
        </w:rPr>
        <w:t xml:space="preserve">Höhenstufe: </w:t>
      </w:r>
      <w:r w:rsidR="00000D36" w:rsidRPr="00832127">
        <w:rPr>
          <w:rFonts w:cstheme="minorHAnsi"/>
          <w:sz w:val="24"/>
          <w:szCs w:val="24"/>
        </w:rPr>
        <w:t xml:space="preserve">montan bis subalpin </w:t>
      </w:r>
    </w:p>
    <w:p w14:paraId="5F7466D5" w14:textId="77777777" w:rsidR="00832127" w:rsidRPr="00564B45" w:rsidRDefault="00832127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64B45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564B45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64B45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564B45">
        <w:rPr>
          <w:rFonts w:cstheme="minorHAnsi"/>
          <w:noProof/>
          <w:sz w:val="24"/>
          <w:szCs w:val="24"/>
          <w:lang w:val="de-AT"/>
        </w:rPr>
        <w:t>LC</w:t>
      </w:r>
    </w:p>
    <w:p w14:paraId="0F99E893" w14:textId="77777777" w:rsidR="00832127" w:rsidRPr="00564B45" w:rsidRDefault="00832127" w:rsidP="00317CEF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64B45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564B45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64B45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564B45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1E7C1829" w14:textId="3E304C16" w:rsidR="00832127" w:rsidRPr="00832127" w:rsidRDefault="00832127" w:rsidP="00832127">
      <w:pPr>
        <w:spacing w:line="276" w:lineRule="auto"/>
        <w:rPr>
          <w:rFonts w:cstheme="minorHAnsi"/>
          <w:noProof/>
          <w:sz w:val="24"/>
          <w:szCs w:val="24"/>
        </w:rPr>
      </w:pPr>
      <w:r w:rsidRPr="00832127">
        <w:rPr>
          <w:rFonts w:cstheme="minorHAnsi"/>
          <w:b/>
          <w:bCs/>
          <w:noProof/>
          <w:sz w:val="24"/>
          <w:szCs w:val="24"/>
        </w:rPr>
        <w:t>Rote Liste Österreich</w:t>
      </w:r>
      <w:r w:rsidRPr="00832127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832127">
        <w:rPr>
          <w:rFonts w:cstheme="minorHAnsi"/>
          <w:b/>
          <w:bCs/>
          <w:noProof/>
          <w:sz w:val="24"/>
          <w:szCs w:val="24"/>
        </w:rPr>
        <w:t>:</w:t>
      </w:r>
      <w:r w:rsidRPr="00832127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18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E95C71" w:rsidRPr="00832127" w14:paraId="1FC4B813" w14:textId="77777777" w:rsidTr="00E95C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D66F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3B11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AD61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308A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F0DA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C96A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C8D6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E95C71" w:rsidRPr="00832127" w14:paraId="7C1D3868" w14:textId="77777777" w:rsidTr="00E95C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66DF8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59E5B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8EC0A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41372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AF820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D92E8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9995D" w14:textId="77777777" w:rsidR="00E95C71" w:rsidRPr="00832127" w:rsidRDefault="00E95C71" w:rsidP="00E95C71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32127">
              <w:rPr>
                <w:rFonts w:cstheme="minorHAnsi"/>
                <w:sz w:val="24"/>
                <w:szCs w:val="28"/>
              </w:rPr>
              <w:t>0</w:t>
            </w:r>
          </w:p>
        </w:tc>
      </w:tr>
    </w:tbl>
    <w:p w14:paraId="7B70D088" w14:textId="77777777" w:rsidR="00E95C71" w:rsidRPr="00832127" w:rsidRDefault="00E95C71">
      <w:pPr>
        <w:rPr>
          <w:rFonts w:cstheme="minorHAnsi"/>
          <w:sz w:val="24"/>
          <w:szCs w:val="24"/>
        </w:rPr>
      </w:pPr>
    </w:p>
    <w:p w14:paraId="1A713A2E" w14:textId="77777777" w:rsidR="00E95C71" w:rsidRPr="00832127" w:rsidRDefault="00E95C71">
      <w:pPr>
        <w:rPr>
          <w:rFonts w:cstheme="minorHAnsi"/>
          <w:b/>
          <w:bCs/>
          <w:sz w:val="24"/>
          <w:szCs w:val="24"/>
        </w:rPr>
      </w:pPr>
      <w:r w:rsidRPr="00832127">
        <w:rPr>
          <w:rFonts w:cstheme="minorHAnsi"/>
          <w:b/>
          <w:bCs/>
          <w:sz w:val="24"/>
          <w:szCs w:val="24"/>
        </w:rPr>
        <w:t xml:space="preserve">Zeigerwerte: </w:t>
      </w:r>
    </w:p>
    <w:p w14:paraId="4CA8E3A1" w14:textId="740FBA76" w:rsidR="00E95C71" w:rsidRPr="00832127" w:rsidRDefault="00E95C71">
      <w:pPr>
        <w:rPr>
          <w:rFonts w:cstheme="minorHAnsi"/>
          <w:b/>
          <w:bCs/>
          <w:sz w:val="24"/>
          <w:szCs w:val="24"/>
        </w:rPr>
      </w:pPr>
    </w:p>
    <w:p w14:paraId="6A85F9E1" w14:textId="77777777" w:rsidR="000176C7" w:rsidRDefault="000176C7"/>
    <w:sectPr w:rsidR="000176C7" w:rsidSect="002C6C71">
      <w:headerReference w:type="default" r:id="rId9"/>
      <w:footerReference w:type="default" r:id="rId10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53A7" w14:textId="77777777" w:rsidR="002C6C71" w:rsidRDefault="002C6C71" w:rsidP="00671E08">
      <w:pPr>
        <w:spacing w:after="0" w:line="240" w:lineRule="auto"/>
      </w:pPr>
      <w:r>
        <w:separator/>
      </w:r>
    </w:p>
  </w:endnote>
  <w:endnote w:type="continuationSeparator" w:id="0">
    <w:p w14:paraId="1D1349FD" w14:textId="77777777" w:rsidR="002C6C71" w:rsidRDefault="002C6C71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EA76" w14:textId="77777777" w:rsidR="00832127" w:rsidRPr="009F1BF4" w:rsidRDefault="00832127" w:rsidP="00832127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4401A3CF" w14:textId="77777777" w:rsidR="00832127" w:rsidRPr="009F1BF4" w:rsidRDefault="00832127" w:rsidP="00832127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69B9071E" w14:textId="19FF3415" w:rsidR="00832127" w:rsidRDefault="00832127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ABF90" w14:textId="77777777" w:rsidR="002C6C71" w:rsidRDefault="002C6C71" w:rsidP="00671E08">
      <w:pPr>
        <w:spacing w:after="0" w:line="240" w:lineRule="auto"/>
      </w:pPr>
      <w:r>
        <w:separator/>
      </w:r>
    </w:p>
  </w:footnote>
  <w:footnote w:type="continuationSeparator" w:id="0">
    <w:p w14:paraId="5655F3F5" w14:textId="77777777" w:rsidR="002C6C71" w:rsidRDefault="002C6C71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342DB4C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00D36"/>
    <w:rsid w:val="00016D2E"/>
    <w:rsid w:val="000176C7"/>
    <w:rsid w:val="00197533"/>
    <w:rsid w:val="001C1F07"/>
    <w:rsid w:val="001C324D"/>
    <w:rsid w:val="001D473E"/>
    <w:rsid w:val="002127CD"/>
    <w:rsid w:val="00235552"/>
    <w:rsid w:val="002459D8"/>
    <w:rsid w:val="00277DC0"/>
    <w:rsid w:val="002C6C71"/>
    <w:rsid w:val="002F3B7E"/>
    <w:rsid w:val="00323AF6"/>
    <w:rsid w:val="003D2666"/>
    <w:rsid w:val="003F4D2F"/>
    <w:rsid w:val="0044136E"/>
    <w:rsid w:val="004E67BA"/>
    <w:rsid w:val="00556AEE"/>
    <w:rsid w:val="00564B45"/>
    <w:rsid w:val="005837D2"/>
    <w:rsid w:val="00601214"/>
    <w:rsid w:val="00613EF1"/>
    <w:rsid w:val="006375B3"/>
    <w:rsid w:val="006447BB"/>
    <w:rsid w:val="00671E08"/>
    <w:rsid w:val="006D678B"/>
    <w:rsid w:val="006E08AD"/>
    <w:rsid w:val="00754E6E"/>
    <w:rsid w:val="007B1670"/>
    <w:rsid w:val="007B3EE2"/>
    <w:rsid w:val="008311FB"/>
    <w:rsid w:val="00832127"/>
    <w:rsid w:val="008E4473"/>
    <w:rsid w:val="008F585E"/>
    <w:rsid w:val="00907831"/>
    <w:rsid w:val="009D031F"/>
    <w:rsid w:val="009D0AAC"/>
    <w:rsid w:val="009D5091"/>
    <w:rsid w:val="009E5DD0"/>
    <w:rsid w:val="00AC64DD"/>
    <w:rsid w:val="00B5754B"/>
    <w:rsid w:val="00B61D4B"/>
    <w:rsid w:val="00BA52E1"/>
    <w:rsid w:val="00BF1E06"/>
    <w:rsid w:val="00BF3B95"/>
    <w:rsid w:val="00C915F4"/>
    <w:rsid w:val="00D02494"/>
    <w:rsid w:val="00D22AE1"/>
    <w:rsid w:val="00D47923"/>
    <w:rsid w:val="00DA0988"/>
    <w:rsid w:val="00DE2C63"/>
    <w:rsid w:val="00DF05C0"/>
    <w:rsid w:val="00E87CDB"/>
    <w:rsid w:val="00E95C71"/>
    <w:rsid w:val="00F32073"/>
    <w:rsid w:val="00F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E08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E95C71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43</cp:revision>
  <dcterms:created xsi:type="dcterms:W3CDTF">2023-08-11T05:17:00Z</dcterms:created>
  <dcterms:modified xsi:type="dcterms:W3CDTF">2024-10-28T08:58:00Z</dcterms:modified>
</cp:coreProperties>
</file>