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DE28A8" w14:paraId="04322600" w14:textId="77777777" w:rsidTr="00D60121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45B677AE" w14:textId="77777777" w:rsidR="00DE28A8" w:rsidRDefault="00DE28A8" w:rsidP="00DE28A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041A3731" w14:textId="77777777" w:rsidR="00DE28A8" w:rsidRDefault="00DE28A8" w:rsidP="00D6012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7CC3F244" w14:textId="77777777" w:rsidR="00DE28A8" w:rsidRDefault="00DE28A8" w:rsidP="00D6012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E28A8" w14:paraId="1F5870FF" w14:textId="77777777" w:rsidTr="00D60121">
        <w:tc>
          <w:tcPr>
            <w:tcW w:w="6120" w:type="dxa"/>
            <w:tcBorders>
              <w:top w:val="single" w:sz="4" w:space="0" w:color="auto"/>
            </w:tcBorders>
          </w:tcPr>
          <w:p w14:paraId="12E874E4" w14:textId="77777777" w:rsidR="00DE28A8" w:rsidRDefault="00DE28A8" w:rsidP="00D6012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7AD90CB7" w14:textId="77777777" w:rsidR="00DE28A8" w:rsidRDefault="00DE28A8" w:rsidP="00D6012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3C9CA07" w14:textId="77777777" w:rsidR="00DE28A8" w:rsidRDefault="00DE28A8" w:rsidP="00D60121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1EF3A342" w14:textId="77777777" w:rsidR="00DE28A8" w:rsidRDefault="00DE28A8" w:rsidP="00FA2174">
      <w:pPr>
        <w:tabs>
          <w:tab w:val="left" w:pos="1080"/>
        </w:tabs>
        <w:ind w:left="1080" w:hanging="1080"/>
        <w:rPr>
          <w:b/>
        </w:rPr>
      </w:pPr>
    </w:p>
    <w:p w14:paraId="03CACC6F" w14:textId="77777777" w:rsidR="003F000C" w:rsidRPr="00A32741" w:rsidRDefault="003F000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AE48B0">
        <w:t>Masterstudium Mathematik</w:t>
      </w:r>
      <w:r w:rsidR="00A32741" w:rsidRPr="00A32741">
        <w:t xml:space="preserve"> an </w:t>
      </w:r>
      <w:r w:rsidRPr="00A32741">
        <w:t xml:space="preserve">der Fakultät für </w:t>
      </w:r>
      <w:r w:rsidR="001E3FF1">
        <w:t>Mathematik, Informatik und Physik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AE48B0" w:rsidRPr="00AE48B0">
        <w:t>23. April 2007, 29. Stück, Nr. 193</w:t>
      </w:r>
      <w:r w:rsidR="00AE48B0">
        <w:t xml:space="preserve"> i.d.g.F.</w:t>
      </w:r>
      <w:r w:rsidRPr="00DE4FBE">
        <w:t>)</w:t>
      </w:r>
    </w:p>
    <w:p w14:paraId="16116D4F" w14:textId="77777777" w:rsidR="003F000C" w:rsidRPr="00CC338F" w:rsidRDefault="003F000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3F000C" w:rsidRPr="00FA2174" w14:paraId="3C6E953B" w14:textId="77777777" w:rsidTr="001E3FF1">
        <w:trPr>
          <w:trHeight w:val="291"/>
        </w:trPr>
        <w:tc>
          <w:tcPr>
            <w:tcW w:w="779" w:type="dxa"/>
            <w:vMerge w:val="restart"/>
            <w:vAlign w:val="center"/>
          </w:tcPr>
          <w:p w14:paraId="359B1EE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1AFD6E65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</w:tcPr>
          <w:p w14:paraId="0780D07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73C937E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14:paraId="09732D6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2A1AC2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2F55FE94" w14:textId="77777777" w:rsidR="003F000C" w:rsidRPr="00FA2174" w:rsidRDefault="003F000C" w:rsidP="009C04B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9C04BC">
              <w:rPr>
                <w:b/>
              </w:rPr>
              <w:t>Masterstudium Mathematik</w:t>
            </w:r>
            <w:r w:rsidR="001E3FF1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vMerge w:val="restart"/>
            <w:tcMar>
              <w:left w:w="40" w:type="dxa"/>
              <w:right w:w="0" w:type="dxa"/>
            </w:tcMar>
          </w:tcPr>
          <w:p w14:paraId="1114464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51D851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14:paraId="72C1614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7FBE23C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5738431C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795FC47C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shd w:val="clear" w:color="auto" w:fill="E6E6E6"/>
            <w:vAlign w:val="center"/>
          </w:tcPr>
          <w:p w14:paraId="6A01B0E5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</w:tcPr>
          <w:p w14:paraId="5DEC381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4A31216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59DB2BB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4829916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7DBD036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63FFFCA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2473681C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7A6DB2F7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</w:tcPr>
          <w:p w14:paraId="5D77A1C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5186D08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3BFA6E1C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115F025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04E87E4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10AC1530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4044DE78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956" w:type="dxa"/>
            <w:shd w:val="clear" w:color="auto" w:fill="E6E6E6"/>
            <w:vAlign w:val="center"/>
          </w:tcPr>
          <w:p w14:paraId="2D1785A0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vMerge/>
          </w:tcPr>
          <w:p w14:paraId="7A6E116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6B9EAB2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4118F86B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75FF077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53CD93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0BF3B198" w14:textId="77777777" w:rsidTr="00B36F03">
        <w:trPr>
          <w:trHeight w:val="291"/>
        </w:trPr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14:paraId="34B593A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14:paraId="34ED3C04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C24259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61C2FE46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10A1BD4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27E69A85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54C2985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485BFC8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C5ED9C4" w14:textId="77777777" w:rsidTr="00B36F03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F0D2F0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D8F5F1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FCD3A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51307D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85" w14:textId="77777777" w:rsidR="00D204FA" w:rsidRPr="000B72AE" w:rsidRDefault="009C04BC" w:rsidP="00DC5694">
            <w:pPr>
              <w:spacing w:before="60" w:after="60"/>
              <w:ind w:left="5"/>
              <w:jc w:val="left"/>
            </w:pPr>
            <w:r w:rsidRPr="009C04BC">
              <w:t>Einführung in die höhere Algebra und diskrete Mathematik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094" w14:textId="77777777" w:rsidR="00D204FA" w:rsidRDefault="009C04B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D204FA">
              <w:rPr>
                <w:rFonts w:cs="Arial"/>
                <w:sz w:val="16"/>
                <w:szCs w:val="16"/>
              </w:rPr>
              <w:br/>
            </w:r>
            <w:bookmarkStart w:id="5" w:name="Text7"/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372" w14:textId="77777777" w:rsidR="00D204FA" w:rsidRDefault="001E3FF1" w:rsidP="00FF24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FF2456">
              <w:rPr>
                <w:rFonts w:cs="Arial"/>
                <w:sz w:val="16"/>
                <w:szCs w:val="16"/>
              </w:rPr>
              <w:t>,5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4FA" w:rsidRPr="00DE302D" w14:paraId="66FF9758" w14:textId="77777777" w:rsidTr="00B36F03">
        <w:trPr>
          <w:trHeight w:val="312"/>
        </w:trPr>
        <w:tc>
          <w:tcPr>
            <w:tcW w:w="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D52FFC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EB315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4912FC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6A05AC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CD4" w14:textId="77777777" w:rsidR="00D204FA" w:rsidRPr="00FB5B95" w:rsidRDefault="009C04BC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04BC">
              <w:rPr>
                <w:rFonts w:cs="Arial"/>
              </w:rPr>
              <w:t>VO Einführung in die höhere Algebra und diskrete Mathematik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DCF" w14:textId="77777777" w:rsidR="00D204FA" w:rsidRDefault="009C04B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D5D" w14:textId="77777777" w:rsidR="00D204FA" w:rsidRDefault="001E3FF1" w:rsidP="009C04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4FA" w:rsidRPr="00DE302D" w14:paraId="30F993C7" w14:textId="77777777" w:rsidTr="00B36F03">
        <w:trPr>
          <w:trHeight w:val="312"/>
        </w:trPr>
        <w:tc>
          <w:tcPr>
            <w:tcW w:w="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DA5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72DB9D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5FD580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8E6392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A3D" w14:textId="77777777" w:rsidR="00D204FA" w:rsidRPr="00FB5B95" w:rsidRDefault="009C04BC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04BC">
              <w:rPr>
                <w:rFonts w:cs="Arial"/>
              </w:rPr>
              <w:t>PS Einführung in die höhere Algebra und diskrete Mathematik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A39A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2B1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C04BC">
              <w:rPr>
                <w:rFonts w:cs="Arial"/>
                <w:sz w:val="16"/>
                <w:szCs w:val="16"/>
              </w:rPr>
              <w:t>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1145DF7C" w14:textId="77777777" w:rsidTr="00B36F03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auto"/>
            </w:tcBorders>
          </w:tcPr>
          <w:p w14:paraId="71A70AF6" w14:textId="77777777"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</w:tcBorders>
            <w:shd w:val="clear" w:color="auto" w:fill="E6E6E6"/>
          </w:tcPr>
          <w:p w14:paraId="305C7F1F" w14:textId="77777777"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6785968F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0AEDE509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3785220" w14:textId="77777777" w:rsidR="005F0FBA" w:rsidRPr="00FB5B95" w:rsidRDefault="009C04BC" w:rsidP="00DC5694">
            <w:pPr>
              <w:spacing w:before="60" w:after="60"/>
              <w:ind w:left="5"/>
              <w:jc w:val="left"/>
            </w:pPr>
            <w:r w:rsidRPr="009C04BC">
              <w:t>Einführung in die höhere Analysis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9F376E2" w14:textId="77777777" w:rsidR="005F0FBA" w:rsidRDefault="00D87A78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C248D1A" w14:textId="77777777" w:rsidR="005F0FBA" w:rsidRDefault="00D87A78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9813BA"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7CD322FE" w14:textId="77777777" w:rsidTr="001E3FF1">
        <w:trPr>
          <w:trHeight w:val="312"/>
        </w:trPr>
        <w:tc>
          <w:tcPr>
            <w:tcW w:w="779" w:type="dxa"/>
            <w:vMerge/>
          </w:tcPr>
          <w:p w14:paraId="409B6500" w14:textId="77777777"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247E7962" w14:textId="77777777"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30369EA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502EA28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BDDEA8D" w14:textId="77777777" w:rsidR="005F0FBA" w:rsidRPr="00513AA7" w:rsidRDefault="009C04BC" w:rsidP="00DC569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04BC">
              <w:rPr>
                <w:rFonts w:cs="Arial"/>
              </w:rPr>
              <w:t>VO Einführung in die höhere Analysis</w:t>
            </w:r>
          </w:p>
        </w:tc>
        <w:tc>
          <w:tcPr>
            <w:tcW w:w="680" w:type="dxa"/>
          </w:tcPr>
          <w:p w14:paraId="3B7C2440" w14:textId="77777777" w:rsidR="005F0FBA" w:rsidRDefault="00F23B3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24877D00" w14:textId="77777777" w:rsidR="005F0FBA" w:rsidRDefault="00D87A78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7DE775B7" w14:textId="77777777" w:rsidTr="00B36F03">
        <w:trPr>
          <w:trHeight w:val="31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4AF25ABE" w14:textId="77777777"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14:paraId="4E8FF73A" w14:textId="77777777"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040C3B80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4533F4A" w14:textId="77777777"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8AFF703" w14:textId="77777777" w:rsidR="005F0FBA" w:rsidRPr="00513AA7" w:rsidRDefault="009C04BC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9C04BC">
              <w:rPr>
                <w:rFonts w:cs="Arial"/>
              </w:rPr>
              <w:t>PS Einführung in die höhere Analysis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A414F7" w14:textId="77777777" w:rsidR="005F0FBA" w:rsidRDefault="00D87A78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EC530A1" w14:textId="77777777" w:rsidR="005F0FBA" w:rsidRDefault="00D87A78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7C160370" w14:textId="77777777" w:rsidTr="00EE42D4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 w:val="restart"/>
            <w:tcBorders>
              <w:bottom w:val="single" w:sz="12" w:space="0" w:color="auto"/>
            </w:tcBorders>
          </w:tcPr>
          <w:p w14:paraId="339BD688" w14:textId="77777777" w:rsidR="005F0FBA" w:rsidRPr="007A3421" w:rsidRDefault="00B07278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956" w:type="dxa"/>
            <w:shd w:val="clear" w:color="auto" w:fill="E6E6E6"/>
          </w:tcPr>
          <w:p w14:paraId="7C81EC5B" w14:textId="77777777" w:rsidR="005F0FBA" w:rsidRPr="000B72AE" w:rsidRDefault="005F0FB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F554DCE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6969D4C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7B1D2EB1" w14:textId="77777777" w:rsidR="005F0FBA" w:rsidRPr="007A3421" w:rsidRDefault="00D87A78" w:rsidP="00537F40">
            <w:pPr>
              <w:spacing w:before="60" w:after="60"/>
              <w:ind w:left="5"/>
              <w:jc w:val="left"/>
            </w:pPr>
            <w:r w:rsidRPr="00D87A78">
              <w:rPr>
                <w:rFonts w:cs="Arial"/>
              </w:rPr>
              <w:t>Einführung in die höhere numerische Mathematik</w:t>
            </w:r>
          </w:p>
        </w:tc>
        <w:tc>
          <w:tcPr>
            <w:tcW w:w="680" w:type="dxa"/>
          </w:tcPr>
          <w:p w14:paraId="29954472" w14:textId="77777777" w:rsidR="005F0FBA" w:rsidRDefault="00D87A7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E6FA4E6" w14:textId="77777777" w:rsidR="005F0FBA" w:rsidRDefault="00D87A7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1A2E1B"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3C303E72" w14:textId="77777777" w:rsidTr="00EE42D4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14:paraId="738ED180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9081868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69D1FD4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4DADDE2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3B7F0716" w14:textId="77777777" w:rsidR="00976A15" w:rsidRPr="00E65F68" w:rsidRDefault="00D87A78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87A78">
              <w:rPr>
                <w:rFonts w:cs="Arial"/>
              </w:rPr>
              <w:t>VO Einführung in die höhere numerische Mathematik</w:t>
            </w:r>
          </w:p>
        </w:tc>
        <w:tc>
          <w:tcPr>
            <w:tcW w:w="680" w:type="dxa"/>
          </w:tcPr>
          <w:p w14:paraId="133FA49F" w14:textId="77777777" w:rsidR="00976A15" w:rsidRDefault="001A2E1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0B9B2222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97938EF" w14:textId="77777777" w:rsidR="00976A15" w:rsidRDefault="00D87A7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1A8A06B6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23D8535A" w14:textId="77777777" w:rsidTr="00B36F03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21D87C73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14:paraId="092B03E0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52404F69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08336157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629F330" w14:textId="77777777" w:rsidR="00976A15" w:rsidRPr="00E65F68" w:rsidRDefault="00D87A78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87A78">
              <w:rPr>
                <w:rFonts w:cs="Arial"/>
              </w:rPr>
              <w:t>PS Einführung in die höhere numerische Mathematik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2635534" w14:textId="77777777" w:rsidR="00976A15" w:rsidRDefault="00D87A7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7C85A6C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41B35C" w14:textId="77777777" w:rsidR="00976A15" w:rsidRDefault="00D87A78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  <w:p w14:paraId="1F8A9DE6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D027285" w14:textId="77777777" w:rsidR="00B36F03" w:rsidRDefault="00B36F0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5945"/>
        <w:gridCol w:w="682"/>
        <w:gridCol w:w="680"/>
        <w:gridCol w:w="6237"/>
        <w:gridCol w:w="680"/>
        <w:gridCol w:w="680"/>
      </w:tblGrid>
      <w:tr w:rsidR="00976A15" w:rsidRPr="00DE302D" w14:paraId="1316C533" w14:textId="77777777" w:rsidTr="00B36F03">
        <w:trPr>
          <w:trHeight w:val="532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21F03574" w14:textId="77777777" w:rsidR="00976A15" w:rsidRPr="007A3421" w:rsidRDefault="00976A15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73F7484" w14:textId="77777777" w:rsidR="00976A15" w:rsidRPr="000B72AE" w:rsidRDefault="00976A1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7865A977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6F233F4D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6405D97" w14:textId="77777777" w:rsidR="00976A15" w:rsidRPr="000B72AE" w:rsidRDefault="00D87A78" w:rsidP="00537F40">
            <w:pPr>
              <w:spacing w:before="60" w:after="60"/>
              <w:ind w:left="5"/>
              <w:jc w:val="left"/>
            </w:pPr>
            <w:r w:rsidRPr="00D87A78">
              <w:t>Einführung in die höhere Stochastik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E5343FE" w14:textId="77777777" w:rsidR="00976A15" w:rsidRDefault="00D87A78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976A15">
              <w:rPr>
                <w:rFonts w:cs="Arial"/>
                <w:sz w:val="16"/>
                <w:szCs w:val="16"/>
              </w:rPr>
              <w:br/>
            </w:r>
            <w:r w:rsidR="00976A1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6A1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A15">
              <w:rPr>
                <w:rFonts w:cs="Arial"/>
                <w:sz w:val="20"/>
                <w:szCs w:val="20"/>
              </w:rPr>
            </w:r>
            <w:r w:rsidR="00976A15">
              <w:rPr>
                <w:rFonts w:cs="Arial"/>
                <w:sz w:val="20"/>
                <w:szCs w:val="20"/>
              </w:rPr>
              <w:fldChar w:fldCharType="separate"/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B6454D2" w14:textId="77777777" w:rsidR="00976A15" w:rsidRDefault="000A7E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976A15">
              <w:rPr>
                <w:rFonts w:cs="Arial"/>
                <w:sz w:val="16"/>
                <w:szCs w:val="16"/>
              </w:rPr>
              <w:t>,5</w:t>
            </w:r>
            <w:r w:rsidR="00976A15">
              <w:rPr>
                <w:rFonts w:cs="Arial"/>
                <w:sz w:val="16"/>
                <w:szCs w:val="16"/>
              </w:rPr>
              <w:br/>
            </w:r>
            <w:r w:rsidR="00976A1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6A1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A15">
              <w:rPr>
                <w:rFonts w:cs="Arial"/>
                <w:sz w:val="20"/>
                <w:szCs w:val="20"/>
              </w:rPr>
            </w:r>
            <w:r w:rsidR="00976A15">
              <w:rPr>
                <w:rFonts w:cs="Arial"/>
                <w:sz w:val="20"/>
                <w:szCs w:val="20"/>
              </w:rPr>
              <w:fldChar w:fldCharType="separate"/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4F366246" w14:textId="77777777" w:rsidTr="00B36F03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6B97DEE3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C4E8E7F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CBD647F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8C5251D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E2DC697" w14:textId="77777777" w:rsidR="00671F8D" w:rsidRPr="00E65F68" w:rsidRDefault="00D87A78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87A78">
              <w:rPr>
                <w:rFonts w:cs="Arial"/>
              </w:rPr>
              <w:t>VO Einführung in die höhere Stochastik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D286ED6" w14:textId="77777777" w:rsidR="00671F8D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330FBBC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93615AA" w14:textId="77777777" w:rsidR="00671F8D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0AEA07B5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3CBBC279" w14:textId="77777777" w:rsidTr="00B36F03">
        <w:trPr>
          <w:trHeight w:val="532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65081E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F56E4B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C9515C6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E7147A9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AD70C9D" w14:textId="77777777" w:rsidR="00671F8D" w:rsidRPr="00E65F68" w:rsidRDefault="00D87A78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87A78">
              <w:rPr>
                <w:rFonts w:cs="Arial"/>
              </w:rPr>
              <w:t>PS Einführung in die höhere Stochastik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70BC45F" w14:textId="77777777" w:rsidR="00671F8D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979221D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71E95D0" w14:textId="77777777" w:rsidR="00671F8D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7147A">
              <w:rPr>
                <w:rFonts w:cs="Arial"/>
                <w:sz w:val="16"/>
                <w:szCs w:val="16"/>
              </w:rPr>
              <w:t>,5</w:t>
            </w:r>
          </w:p>
          <w:p w14:paraId="1B664041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0BE882C7" w14:textId="77777777" w:rsidTr="00B36F03">
        <w:trPr>
          <w:trHeight w:val="532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207307" w14:textId="77777777" w:rsidR="00661E40" w:rsidRPr="007A3421" w:rsidRDefault="00661E40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E98992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4F5818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1F35116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E7A6D98" w14:textId="77777777" w:rsidR="00661E40" w:rsidRPr="00537F40" w:rsidRDefault="0047147A" w:rsidP="00537F40">
            <w:pPr>
              <w:spacing w:before="60" w:after="60"/>
              <w:ind w:left="5"/>
              <w:jc w:val="left"/>
            </w:pPr>
            <w:r w:rsidRPr="0047147A">
              <w:rPr>
                <w:rFonts w:cs="Arial"/>
              </w:rPr>
              <w:t>Fachspezifische Grundlagen und Kernkompetenzen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9CB2753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  <w:p w14:paraId="01B08375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BAFCCFC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661E40">
              <w:rPr>
                <w:rFonts w:cs="Arial"/>
                <w:sz w:val="16"/>
                <w:szCs w:val="16"/>
              </w:rPr>
              <w:t>5</w:t>
            </w:r>
          </w:p>
          <w:p w14:paraId="5257C334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4068A6DA" w14:textId="77777777" w:rsidTr="00EE42D4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71EDBA72" w14:textId="77777777"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816A36C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7883164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2EDB83EC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660D039" w14:textId="77777777" w:rsidR="00661E40" w:rsidRPr="00E65F68" w:rsidRDefault="0047147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Grundlagen und Kernkompetenzen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B20EC3B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79135EE2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72C00EE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6E2C9BFA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7639B955" w14:textId="77777777" w:rsidTr="00B36F03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09D5DBBB" w14:textId="77777777"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5B42F0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0423DF43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F38BA5F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E52AEB8" w14:textId="77777777" w:rsidR="00661E40" w:rsidRPr="00E65F68" w:rsidRDefault="0047147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Grundlagen und Kernkompetenzen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505AB5F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758C5651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3D8568A" w14:textId="77777777" w:rsidR="00661E40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3D7CC260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78E84097" w14:textId="77777777" w:rsidTr="00EE42D4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F87F7A1" w14:textId="77777777" w:rsidR="00463F2E" w:rsidRPr="007A3421" w:rsidRDefault="00463F2E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3E3397CE" w14:textId="77777777"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C539C24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0E99F6E9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3A1F65A" w14:textId="77777777" w:rsidR="00463F2E" w:rsidRPr="000B72AE" w:rsidRDefault="0047147A" w:rsidP="00516D9C">
            <w:pPr>
              <w:spacing w:before="60" w:after="60"/>
              <w:ind w:left="5"/>
              <w:jc w:val="left"/>
            </w:pPr>
            <w:r w:rsidRPr="0047147A">
              <w:t>Weiterführende Fachkompetenzen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774ACE4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2198AA3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63F2E">
              <w:rPr>
                <w:rFonts w:cs="Arial"/>
                <w:sz w:val="16"/>
                <w:szCs w:val="16"/>
              </w:rPr>
              <w:t>5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510C232B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0102D599" w14:textId="77777777"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64C9020E" w14:textId="77777777"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E60CB20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25D491E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3FCACA1B" w14:textId="77777777" w:rsidR="00463F2E" w:rsidRPr="004E408F" w:rsidRDefault="0047147A" w:rsidP="00BD229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Weiterführende Fachkompetenzen 1</w:t>
            </w:r>
          </w:p>
        </w:tc>
        <w:tc>
          <w:tcPr>
            <w:tcW w:w="680" w:type="dxa"/>
          </w:tcPr>
          <w:p w14:paraId="61B84F37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76C3CFE9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1E3FF1">
              <w:rPr>
                <w:rFonts w:cs="Arial"/>
                <w:sz w:val="16"/>
                <w:szCs w:val="16"/>
              </w:rPr>
              <w:t>,5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34C64B69" w14:textId="77777777" w:rsidTr="00B36F03">
        <w:trPr>
          <w:trHeight w:val="532"/>
        </w:trPr>
        <w:tc>
          <w:tcPr>
            <w:tcW w:w="790" w:type="dxa"/>
            <w:gridSpan w:val="2"/>
            <w:vMerge/>
            <w:tcBorders>
              <w:top w:val="single" w:sz="8" w:space="0" w:color="auto"/>
              <w:bottom w:val="single" w:sz="4" w:space="0" w:color="auto"/>
            </w:tcBorders>
          </w:tcPr>
          <w:p w14:paraId="59ADF678" w14:textId="77777777"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1D54F3C" w14:textId="77777777" w:rsidR="00463F2E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6F4D6B03" w14:textId="77777777"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080F5778" w14:textId="77777777"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F9B4712" w14:textId="77777777" w:rsidR="00463F2E" w:rsidRPr="004E408F" w:rsidRDefault="0047147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Weiterführende Fachkompetenzen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3026B63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5EDE7361" w14:textId="77777777"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6FD35D8" w14:textId="77777777" w:rsidR="00463F2E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0B075EA3" w14:textId="77777777"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7268F65F" w14:textId="77777777" w:rsidTr="00B36F03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3647DDD3" w14:textId="77777777" w:rsidR="008E797B" w:rsidRPr="007A3421" w:rsidRDefault="008E797B" w:rsidP="00A87D9C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7E15C9F4" w14:textId="77777777"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24F1A1D5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64DA3C85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350B9D9" w14:textId="77777777" w:rsidR="008E797B" w:rsidRPr="000B72AE" w:rsidRDefault="0047147A" w:rsidP="004E408F">
            <w:pPr>
              <w:spacing w:before="60" w:after="60"/>
              <w:ind w:left="5"/>
              <w:jc w:val="left"/>
            </w:pPr>
            <w:r w:rsidRPr="0047147A">
              <w:rPr>
                <w:rFonts w:cs="Arial"/>
              </w:rPr>
              <w:t>Spezielle Themen und Methoden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AF67326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BAC774A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8E797B">
              <w:rPr>
                <w:rFonts w:cs="Arial"/>
                <w:sz w:val="16"/>
                <w:szCs w:val="16"/>
              </w:rPr>
              <w:t>5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6D2EBC06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3FC085F6" w14:textId="77777777"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57DFF420" w14:textId="77777777"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5A54D96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19E44C9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FC1D64B" w14:textId="77777777" w:rsidR="008E797B" w:rsidRPr="004E408F" w:rsidRDefault="0047147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Spezielle Themen und Methoden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A46DE14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BC26F24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A87D9C">
              <w:rPr>
                <w:rFonts w:cs="Arial"/>
                <w:sz w:val="16"/>
                <w:szCs w:val="16"/>
              </w:rPr>
              <w:t>,5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48059D27" w14:textId="77777777" w:rsidTr="00B36F03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34F02D70" w14:textId="77777777"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D0BF3E1" w14:textId="77777777" w:rsidR="008E797B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E9808E8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399A8406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7C7A88D" w14:textId="77777777" w:rsidR="008E797B" w:rsidRPr="004E408F" w:rsidRDefault="0047147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VU Spezielle Themen und Methoden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9A2946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522E4C9A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53D988B" w14:textId="77777777" w:rsidR="008E797B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3711FC37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53CC8161" w14:textId="77777777" w:rsidTr="00B36F03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A6AAC79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0967667E" w14:textId="77777777"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ED39CA7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772DAB4D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E1193BF" w14:textId="77777777" w:rsidR="00FB3BF6" w:rsidRPr="000B72AE" w:rsidRDefault="0047147A" w:rsidP="00CF5AE6">
            <w:pPr>
              <w:spacing w:before="60" w:after="60"/>
              <w:ind w:left="5"/>
              <w:jc w:val="left"/>
            </w:pPr>
            <w:r w:rsidRPr="0047147A">
              <w:rPr>
                <w:rFonts w:cs="Arial"/>
              </w:rPr>
              <w:t>Forschungsseminare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35DDA14" w14:textId="77777777" w:rsidR="00FB3BF6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2842D58" w14:textId="77777777" w:rsidR="00FB3BF6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227AF358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678C3C2E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9ED97AB" w14:textId="77777777"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AE01E42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02F5D173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B70EBD7" w14:textId="77777777" w:rsidR="00FB3BF6" w:rsidRPr="00D81D74" w:rsidRDefault="0047147A" w:rsidP="00A3120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SE Forschungsseminar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6146064" w14:textId="77777777" w:rsidR="00FB3BF6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6C2992B" w14:textId="77777777" w:rsidR="00FB3BF6" w:rsidRDefault="00740A24" w:rsidP="00CF34D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79A58769" w14:textId="77777777" w:rsidTr="00B36F03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61D64006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36303D6" w14:textId="77777777" w:rsidR="00FB3BF6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38972AE5" w14:textId="77777777" w:rsidR="00FB3BF6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1A555A4D" w14:textId="77777777" w:rsidR="00FB3BF6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775FDE9" w14:textId="77777777" w:rsidR="00FB3BF6" w:rsidRPr="00D81D74" w:rsidRDefault="0047147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7147A">
              <w:rPr>
                <w:rFonts w:cs="Arial"/>
              </w:rPr>
              <w:t>SE Kritische Forschungsanalyse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49AA77D" w14:textId="77777777" w:rsidR="00FB3BF6" w:rsidRDefault="00740A2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C184A11" w14:textId="77777777" w:rsidR="00CF34D9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ADE37FA" w14:textId="77777777" w:rsidR="00FB3BF6" w:rsidRDefault="0047147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6A166ECC" w14:textId="77777777" w:rsidR="00CF34D9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48B849" w14:textId="77777777" w:rsidR="00B36F03" w:rsidRDefault="00B36F0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6D4E8F" w:rsidRPr="00DE302D" w14:paraId="32C3FF40" w14:textId="77777777" w:rsidTr="00B36F03">
        <w:trPr>
          <w:trHeight w:val="312"/>
        </w:trPr>
        <w:tc>
          <w:tcPr>
            <w:tcW w:w="779" w:type="dxa"/>
            <w:vMerge w:val="restart"/>
          </w:tcPr>
          <w:p w14:paraId="26D2AD26" w14:textId="77777777" w:rsidR="006D4E8F" w:rsidRPr="007A3421" w:rsidRDefault="006D4E8F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B496278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953835D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3E364AC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599E4D0" w14:textId="77777777" w:rsidR="006D4E8F" w:rsidRPr="000B72AE" w:rsidRDefault="0087514B" w:rsidP="00BD2293">
            <w:pPr>
              <w:spacing w:before="60" w:after="60"/>
              <w:ind w:left="5"/>
              <w:jc w:val="left"/>
            </w:pPr>
            <w:r w:rsidRPr="0087514B">
              <w:rPr>
                <w:rFonts w:cs="Arial"/>
              </w:rPr>
              <w:t>Fachübergreifende Qualifikationen</w:t>
            </w:r>
          </w:p>
        </w:tc>
        <w:tc>
          <w:tcPr>
            <w:tcW w:w="680" w:type="dxa"/>
          </w:tcPr>
          <w:p w14:paraId="5BEBE098" w14:textId="77777777" w:rsidR="006D4E8F" w:rsidRDefault="0087514B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6D4E8F">
              <w:rPr>
                <w:rFonts w:cs="Arial"/>
                <w:sz w:val="16"/>
                <w:szCs w:val="16"/>
              </w:rPr>
              <w:br/>
            </w:r>
            <w:r w:rsidR="006D4E8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D4E8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D4E8F">
              <w:rPr>
                <w:rFonts w:cs="Arial"/>
                <w:sz w:val="20"/>
                <w:szCs w:val="20"/>
              </w:rPr>
            </w:r>
            <w:r w:rsidR="006D4E8F">
              <w:rPr>
                <w:rFonts w:cs="Arial"/>
                <w:sz w:val="20"/>
                <w:szCs w:val="20"/>
              </w:rPr>
              <w:fldChar w:fldCharType="separate"/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031409AE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5293" w:rsidRPr="00DE302D" w14:paraId="06EE831D" w14:textId="77777777" w:rsidTr="00665293">
        <w:trPr>
          <w:trHeight w:val="3392"/>
        </w:trPr>
        <w:tc>
          <w:tcPr>
            <w:tcW w:w="779" w:type="dxa"/>
            <w:vMerge/>
          </w:tcPr>
          <w:p w14:paraId="24240615" w14:textId="77777777" w:rsidR="00665293" w:rsidRPr="007A3421" w:rsidRDefault="00665293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150A1738" w14:textId="77777777" w:rsidR="00665293" w:rsidRDefault="00665293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296CAD" w14:textId="77777777" w:rsidR="00665293" w:rsidRDefault="00665293" w:rsidP="001F061F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333AFE91" w14:textId="77777777" w:rsidR="00665293" w:rsidRDefault="0066529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944D2B8" w14:textId="77777777" w:rsidR="00665293" w:rsidRDefault="0066529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6054D913" w14:textId="77777777" w:rsidR="00665293" w:rsidRDefault="0066529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32188E09" w14:textId="77777777" w:rsidR="00665293" w:rsidRDefault="0066529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</w:tcPr>
          <w:p w14:paraId="730DCAD4" w14:textId="77777777" w:rsidR="00665293" w:rsidRPr="0087514B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  <w:i/>
              </w:rPr>
              <w:t>Es müssen zwei der vier folgenden Lehrveranstaltungen absolviert werden:</w:t>
            </w:r>
            <w:r>
              <w:rPr>
                <w:rFonts w:cs="Arial"/>
                <w:i/>
              </w:rPr>
              <w:br/>
            </w:r>
            <w:r>
              <w:rPr>
                <w:rFonts w:cs="Arial"/>
              </w:rPr>
              <w:br/>
            </w:r>
            <w:r w:rsidRPr="0087514B">
              <w:rPr>
                <w:rFonts w:cs="Arial"/>
              </w:rPr>
              <w:t>VO Geschichte und philosophische Aspekte der Mathematik</w:t>
            </w:r>
            <w:r>
              <w:rPr>
                <w:rFonts w:cs="Arial"/>
              </w:rPr>
              <w:br/>
            </w:r>
          </w:p>
          <w:p w14:paraId="732B25DE" w14:textId="77777777" w:rsidR="00665293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7514B">
              <w:rPr>
                <w:rFonts w:cs="Arial"/>
              </w:rPr>
              <w:t>UE Fremdsprache</w:t>
            </w:r>
            <w:r>
              <w:rPr>
                <w:rFonts w:cs="Arial"/>
              </w:rPr>
              <w:br/>
            </w:r>
          </w:p>
          <w:p w14:paraId="5958A36B" w14:textId="77777777" w:rsidR="00665293" w:rsidRPr="00D81D74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  <w:p w14:paraId="38821DC2" w14:textId="77777777" w:rsidR="00665293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7514B">
              <w:rPr>
                <w:rFonts w:cs="Arial"/>
              </w:rPr>
              <w:t>VO Genderaspekte der Technik</w:t>
            </w:r>
          </w:p>
          <w:p w14:paraId="72BC65CD" w14:textId="77777777" w:rsidR="00665293" w:rsidRPr="0087514B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409A70DE" w14:textId="77777777" w:rsidR="00665293" w:rsidRPr="00D81D74" w:rsidRDefault="00665293" w:rsidP="0087514B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7514B">
              <w:rPr>
                <w:rFonts w:cs="Arial"/>
              </w:rPr>
              <w:t>UE Soziale Kompetenzen</w:t>
            </w:r>
          </w:p>
        </w:tc>
        <w:tc>
          <w:tcPr>
            <w:tcW w:w="680" w:type="dxa"/>
          </w:tcPr>
          <w:p w14:paraId="7FE8D72D" w14:textId="77777777" w:rsidR="00665293" w:rsidRPr="0087514B" w:rsidRDefault="00665293" w:rsidP="0066529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16"/>
                <w:szCs w:val="16"/>
              </w:rPr>
              <w:t>2</w:t>
            </w:r>
            <w:r w:rsidRPr="0087514B"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2293D415" w14:textId="77777777" w:rsidR="00665293" w:rsidRDefault="00665293" w:rsidP="008751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C3BF17D" w14:textId="77777777" w:rsidR="00665293" w:rsidRPr="0087514B" w:rsidRDefault="00665293" w:rsidP="008751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 w:rsidRPr="0087514B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16"/>
                <w:szCs w:val="16"/>
              </w:rPr>
              <w:br/>
              <w:t>2</w:t>
            </w:r>
            <w:r w:rsidRPr="0087514B"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</w:p>
        </w:tc>
        <w:tc>
          <w:tcPr>
            <w:tcW w:w="680" w:type="dxa"/>
          </w:tcPr>
          <w:p w14:paraId="42AC034E" w14:textId="77777777" w:rsidR="00665293" w:rsidRPr="00665293" w:rsidRDefault="00665293" w:rsidP="0066529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20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2,5</w:t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br/>
            </w:r>
          </w:p>
          <w:p w14:paraId="5C079855" w14:textId="77777777" w:rsidR="00665293" w:rsidRDefault="00665293" w:rsidP="008751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  <w:t>2,5</w:t>
            </w:r>
          </w:p>
          <w:p w14:paraId="2A6BDC48" w14:textId="77777777" w:rsidR="00665293" w:rsidRPr="00665293" w:rsidRDefault="00665293" w:rsidP="0087514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  <w:r w:rsidRPr="0087514B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16"/>
                <w:szCs w:val="16"/>
              </w:rPr>
              <w:br/>
              <w:t>2</w:t>
            </w:r>
            <w:r>
              <w:rPr>
                <w:rFonts w:cs="Arial"/>
                <w:sz w:val="16"/>
                <w:szCs w:val="16"/>
              </w:rPr>
              <w:t>,5</w:t>
            </w:r>
            <w:r w:rsidRPr="0087514B">
              <w:rPr>
                <w:rFonts w:cs="Arial"/>
                <w:sz w:val="16"/>
                <w:szCs w:val="16"/>
              </w:rPr>
              <w:br/>
            </w:r>
            <w:r w:rsidRPr="0087514B">
              <w:rPr>
                <w:rFonts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514B">
              <w:rPr>
                <w:rFonts w:cs="Arial"/>
                <w:sz w:val="20"/>
                <w:szCs w:val="16"/>
              </w:rPr>
              <w:instrText xml:space="preserve"> FORMTEXT </w:instrText>
            </w:r>
            <w:r w:rsidRPr="0087514B">
              <w:rPr>
                <w:rFonts w:cs="Arial"/>
                <w:sz w:val="20"/>
                <w:szCs w:val="16"/>
              </w:rPr>
            </w:r>
            <w:r w:rsidRPr="0087514B">
              <w:rPr>
                <w:rFonts w:cs="Arial"/>
                <w:sz w:val="20"/>
                <w:szCs w:val="16"/>
              </w:rPr>
              <w:fldChar w:fldCharType="separate"/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t> </w:t>
            </w:r>
            <w:r w:rsidRPr="0087514B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14:paraId="0728918E" w14:textId="77777777" w:rsidR="003F000C" w:rsidRDefault="003F000C" w:rsidP="00986102">
      <w:pPr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3A64B9E5" w14:textId="77777777" w:rsidR="00161937" w:rsidRDefault="00161937" w:rsidP="00986102">
      <w:pPr>
        <w:jc w:val="left"/>
        <w:rPr>
          <w:sz w:val="21"/>
          <w:szCs w:val="21"/>
        </w:rPr>
      </w:pPr>
    </w:p>
    <w:p w14:paraId="453C60B4" w14:textId="77777777"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02EAF442" w14:textId="77777777" w:rsidTr="00BE35BD">
        <w:tc>
          <w:tcPr>
            <w:tcW w:w="970" w:type="dxa"/>
            <w:vAlign w:val="center"/>
          </w:tcPr>
          <w:p w14:paraId="3856C36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7393942B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7FA82D94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71E97F9F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5D1F684" w14:textId="77777777" w:rsidR="003F000C" w:rsidRDefault="003F000C" w:rsidP="00BF1543">
            <w:pPr>
              <w:spacing w:before="120" w:after="120"/>
            </w:pPr>
          </w:p>
        </w:tc>
      </w:tr>
    </w:tbl>
    <w:p w14:paraId="0AA93456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2EE22391" w14:textId="77777777" w:rsidTr="00BE35BD">
        <w:tc>
          <w:tcPr>
            <w:tcW w:w="6190" w:type="dxa"/>
          </w:tcPr>
          <w:p w14:paraId="18498F1A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5903AA55" w14:textId="77777777" w:rsidR="003F000C" w:rsidRDefault="003F000C" w:rsidP="00BF1543"/>
        </w:tc>
        <w:tc>
          <w:tcPr>
            <w:tcW w:w="6660" w:type="dxa"/>
          </w:tcPr>
          <w:p w14:paraId="7CAA5DEC" w14:textId="77777777" w:rsidR="003F000C" w:rsidRDefault="003F000C" w:rsidP="00BF1543">
            <w:r>
              <w:t>genehmigt:</w:t>
            </w:r>
          </w:p>
        </w:tc>
      </w:tr>
      <w:tr w:rsidR="003F000C" w14:paraId="4FA0C71A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347B3CD4" w14:textId="77777777" w:rsidR="003F000C" w:rsidRDefault="003F000C" w:rsidP="00BF1543"/>
          <w:p w14:paraId="76D971F8" w14:textId="77777777" w:rsidR="003F000C" w:rsidRDefault="003F000C" w:rsidP="00BF1543"/>
          <w:p w14:paraId="0EF638F3" w14:textId="77777777" w:rsidR="003F000C" w:rsidRDefault="003F000C" w:rsidP="00BF1543"/>
          <w:p w14:paraId="16F36D84" w14:textId="77777777" w:rsidR="003F000C" w:rsidRDefault="003F000C" w:rsidP="00BF1543"/>
        </w:tc>
        <w:tc>
          <w:tcPr>
            <w:tcW w:w="2700" w:type="dxa"/>
          </w:tcPr>
          <w:p w14:paraId="13BD0D04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56A8FE6F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2C35DA11" w14:textId="77777777" w:rsidR="003F000C" w:rsidRDefault="003F000C" w:rsidP="00355756">
            <w:pPr>
              <w:jc w:val="center"/>
            </w:pPr>
          </w:p>
          <w:p w14:paraId="28FB8DAD" w14:textId="77777777" w:rsidR="003F000C" w:rsidRDefault="003F000C" w:rsidP="00355756">
            <w:pPr>
              <w:jc w:val="center"/>
            </w:pPr>
          </w:p>
          <w:p w14:paraId="5576F4F9" w14:textId="77777777" w:rsidR="003F000C" w:rsidRDefault="003F000C" w:rsidP="00355756">
            <w:pPr>
              <w:jc w:val="center"/>
            </w:pPr>
          </w:p>
        </w:tc>
      </w:tr>
      <w:tr w:rsidR="003F000C" w:rsidRPr="00161937" w14:paraId="68CC8B52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660317B2" w14:textId="77777777" w:rsidR="003F000C" w:rsidRDefault="003F000C" w:rsidP="00BF1543"/>
        </w:tc>
        <w:tc>
          <w:tcPr>
            <w:tcW w:w="2700" w:type="dxa"/>
          </w:tcPr>
          <w:p w14:paraId="1FB0ED0B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61828F9E" w14:textId="77777777" w:rsidR="003F000C" w:rsidRPr="00852A22" w:rsidRDefault="00852A22" w:rsidP="00AE48B0">
            <w:pPr>
              <w:jc w:val="center"/>
            </w:pPr>
            <w:r w:rsidRPr="00852A22">
              <w:t>Univ.-Prof. Dipl.-Math. Dr. Tim Netzer</w:t>
            </w:r>
          </w:p>
        </w:tc>
      </w:tr>
    </w:tbl>
    <w:p w14:paraId="0A09AA59" w14:textId="77777777" w:rsidR="003F000C" w:rsidRPr="00161937" w:rsidRDefault="003F000C" w:rsidP="00BF1543">
      <w:pPr>
        <w:rPr>
          <w:sz w:val="20"/>
          <w:szCs w:val="20"/>
        </w:rPr>
      </w:pPr>
    </w:p>
    <w:sectPr w:rsidR="003F000C" w:rsidRPr="00161937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AB92" w14:textId="77777777" w:rsidR="00BE1704" w:rsidRDefault="00BE1704">
      <w:r>
        <w:separator/>
      </w:r>
    </w:p>
  </w:endnote>
  <w:endnote w:type="continuationSeparator" w:id="0">
    <w:p w14:paraId="4F459A79" w14:textId="77777777" w:rsidR="00BE1704" w:rsidRDefault="00BE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DED7" w14:textId="77777777" w:rsidR="00BE1704" w:rsidRDefault="00BE1704">
      <w:r>
        <w:separator/>
      </w:r>
    </w:p>
  </w:footnote>
  <w:footnote w:type="continuationSeparator" w:id="0">
    <w:p w14:paraId="79D275A0" w14:textId="77777777" w:rsidR="00BE1704" w:rsidRDefault="00BE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91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10"/>
    </w:tblGrid>
    <w:tr w:rsidR="00DE28A8" w14:paraId="1D032752" w14:textId="77777777" w:rsidTr="00DE28A8">
      <w:tc>
        <w:tcPr>
          <w:tcW w:w="15910" w:type="dxa"/>
        </w:tcPr>
        <w:p w14:paraId="16BE48FF" w14:textId="77777777" w:rsidR="00DE28A8" w:rsidRPr="00795A95" w:rsidRDefault="00DE28A8" w:rsidP="00DE28A8">
          <w:pPr>
            <w:tabs>
              <w:tab w:val="right" w:leader="underscore" w:pos="7088"/>
              <w:tab w:val="right" w:pos="14760"/>
            </w:tabs>
            <w:ind w:right="-32"/>
            <w:jc w:val="left"/>
            <w:rPr>
              <w:b/>
              <w:shd w:val="clear" w:color="auto" w:fill="D9D9D9"/>
            </w:rPr>
          </w:pPr>
          <w:r>
            <w:t xml:space="preserve">Beiblatt Masterstudium Mathematik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80DA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380DA2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                                                                              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 w:rsidR="00387670">
            <w:rPr>
              <w:rStyle w:val="Seitenzahl"/>
              <w:b/>
            </w:rPr>
            <w:t>01.03</w:t>
          </w:r>
          <w:r>
            <w:rPr>
              <w:rStyle w:val="Seitenzahl"/>
              <w:b/>
            </w:rPr>
            <w:t>.202</w:t>
          </w:r>
          <w:r w:rsidR="00387670">
            <w:rPr>
              <w:rStyle w:val="Seitenzahl"/>
              <w:b/>
            </w:rPr>
            <w:t>4</w:t>
          </w:r>
        </w:p>
      </w:tc>
    </w:tr>
  </w:tbl>
  <w:p w14:paraId="1D082F9C" w14:textId="77777777" w:rsidR="00665293" w:rsidRPr="00A77B1F" w:rsidRDefault="00665293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849C6"/>
    <w:multiLevelType w:val="hybridMultilevel"/>
    <w:tmpl w:val="D9923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5"/>
  </w:num>
  <w:num w:numId="6">
    <w:abstractNumId w:val="21"/>
  </w:num>
  <w:num w:numId="7">
    <w:abstractNumId w:val="17"/>
  </w:num>
  <w:num w:numId="8">
    <w:abstractNumId w:val="13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9"/>
  </w:num>
  <w:num w:numId="14">
    <w:abstractNumId w:val="15"/>
  </w:num>
  <w:num w:numId="15">
    <w:abstractNumId w:val="25"/>
  </w:num>
  <w:num w:numId="16">
    <w:abstractNumId w:val="7"/>
  </w:num>
  <w:num w:numId="17">
    <w:abstractNumId w:val="23"/>
  </w:num>
  <w:num w:numId="18">
    <w:abstractNumId w:val="12"/>
  </w:num>
  <w:num w:numId="19">
    <w:abstractNumId w:val="2"/>
  </w:num>
  <w:num w:numId="20">
    <w:abstractNumId w:val="8"/>
  </w:num>
  <w:num w:numId="21">
    <w:abstractNumId w:val="24"/>
  </w:num>
  <w:num w:numId="22">
    <w:abstractNumId w:val="20"/>
  </w:num>
  <w:num w:numId="23">
    <w:abstractNumId w:val="18"/>
  </w:num>
  <w:num w:numId="24">
    <w:abstractNumId w:val="11"/>
  </w:num>
  <w:num w:numId="25">
    <w:abstractNumId w:val="10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75jxPs5MbpsNgFKTzaOyXyj3LViQDkMs9gevbuS6K2YWgYG667ByI8sCsv1qrwX0NdALRjK8Df75a2Hvjp8w==" w:salt="keLXjDJPU5KYc82PCt5/6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40A0D"/>
    <w:rsid w:val="000416A7"/>
    <w:rsid w:val="00046364"/>
    <w:rsid w:val="00051305"/>
    <w:rsid w:val="00060178"/>
    <w:rsid w:val="00062B3D"/>
    <w:rsid w:val="00066BC1"/>
    <w:rsid w:val="000724B6"/>
    <w:rsid w:val="000767FA"/>
    <w:rsid w:val="00082E80"/>
    <w:rsid w:val="00095210"/>
    <w:rsid w:val="000A3444"/>
    <w:rsid w:val="000A3D8E"/>
    <w:rsid w:val="000A78FC"/>
    <w:rsid w:val="000A7E7B"/>
    <w:rsid w:val="000B72AE"/>
    <w:rsid w:val="000D5493"/>
    <w:rsid w:val="000E09D0"/>
    <w:rsid w:val="000F3815"/>
    <w:rsid w:val="001007DC"/>
    <w:rsid w:val="00101D5D"/>
    <w:rsid w:val="001157CC"/>
    <w:rsid w:val="001328D0"/>
    <w:rsid w:val="001362E7"/>
    <w:rsid w:val="00137B62"/>
    <w:rsid w:val="001426F1"/>
    <w:rsid w:val="001521CE"/>
    <w:rsid w:val="00154B69"/>
    <w:rsid w:val="00161937"/>
    <w:rsid w:val="00162069"/>
    <w:rsid w:val="00164A06"/>
    <w:rsid w:val="00167152"/>
    <w:rsid w:val="00167375"/>
    <w:rsid w:val="001706E2"/>
    <w:rsid w:val="00183EB4"/>
    <w:rsid w:val="001962B9"/>
    <w:rsid w:val="001A1AF2"/>
    <w:rsid w:val="001A2E1B"/>
    <w:rsid w:val="001C350A"/>
    <w:rsid w:val="001D095B"/>
    <w:rsid w:val="001D3BD8"/>
    <w:rsid w:val="001E3A9E"/>
    <w:rsid w:val="001E3FF1"/>
    <w:rsid w:val="001F061F"/>
    <w:rsid w:val="001F38F8"/>
    <w:rsid w:val="001F5B7E"/>
    <w:rsid w:val="001F7173"/>
    <w:rsid w:val="00203AF3"/>
    <w:rsid w:val="0021124C"/>
    <w:rsid w:val="002215FD"/>
    <w:rsid w:val="0022460E"/>
    <w:rsid w:val="00230958"/>
    <w:rsid w:val="002425E2"/>
    <w:rsid w:val="00247810"/>
    <w:rsid w:val="00252E8D"/>
    <w:rsid w:val="002640DA"/>
    <w:rsid w:val="00272918"/>
    <w:rsid w:val="00276B76"/>
    <w:rsid w:val="0028085C"/>
    <w:rsid w:val="00284CF0"/>
    <w:rsid w:val="0028674C"/>
    <w:rsid w:val="00287EA9"/>
    <w:rsid w:val="00293B06"/>
    <w:rsid w:val="00297A82"/>
    <w:rsid w:val="002A6490"/>
    <w:rsid w:val="002B10FD"/>
    <w:rsid w:val="002B12BE"/>
    <w:rsid w:val="002D7788"/>
    <w:rsid w:val="002E1029"/>
    <w:rsid w:val="002E269F"/>
    <w:rsid w:val="002F4857"/>
    <w:rsid w:val="00307FA8"/>
    <w:rsid w:val="00317B84"/>
    <w:rsid w:val="00317B95"/>
    <w:rsid w:val="0032169E"/>
    <w:rsid w:val="00327DDC"/>
    <w:rsid w:val="00334B95"/>
    <w:rsid w:val="00340C25"/>
    <w:rsid w:val="003501D6"/>
    <w:rsid w:val="00355756"/>
    <w:rsid w:val="003740A8"/>
    <w:rsid w:val="00375433"/>
    <w:rsid w:val="00376C87"/>
    <w:rsid w:val="00380DA2"/>
    <w:rsid w:val="00381ED5"/>
    <w:rsid w:val="00387670"/>
    <w:rsid w:val="0038786F"/>
    <w:rsid w:val="003A29B8"/>
    <w:rsid w:val="003A5BA6"/>
    <w:rsid w:val="003B5A70"/>
    <w:rsid w:val="003B7DF9"/>
    <w:rsid w:val="003C0EDA"/>
    <w:rsid w:val="003C518A"/>
    <w:rsid w:val="003E3A33"/>
    <w:rsid w:val="003E799E"/>
    <w:rsid w:val="003F000C"/>
    <w:rsid w:val="0041592C"/>
    <w:rsid w:val="00417C2E"/>
    <w:rsid w:val="00422F93"/>
    <w:rsid w:val="00431641"/>
    <w:rsid w:val="00443C57"/>
    <w:rsid w:val="00444362"/>
    <w:rsid w:val="00444A63"/>
    <w:rsid w:val="0045017D"/>
    <w:rsid w:val="00453207"/>
    <w:rsid w:val="004542BE"/>
    <w:rsid w:val="00457E1F"/>
    <w:rsid w:val="00463F2E"/>
    <w:rsid w:val="0047147A"/>
    <w:rsid w:val="00473FF1"/>
    <w:rsid w:val="0048192E"/>
    <w:rsid w:val="004821AE"/>
    <w:rsid w:val="00486919"/>
    <w:rsid w:val="00495D91"/>
    <w:rsid w:val="004A61C7"/>
    <w:rsid w:val="004B27B3"/>
    <w:rsid w:val="004C21B2"/>
    <w:rsid w:val="004D0C70"/>
    <w:rsid w:val="004D330A"/>
    <w:rsid w:val="004D4BE2"/>
    <w:rsid w:val="004E1F4C"/>
    <w:rsid w:val="004E408F"/>
    <w:rsid w:val="004F7589"/>
    <w:rsid w:val="0050328D"/>
    <w:rsid w:val="00503962"/>
    <w:rsid w:val="00503AC2"/>
    <w:rsid w:val="0051162A"/>
    <w:rsid w:val="00513AA7"/>
    <w:rsid w:val="00514730"/>
    <w:rsid w:val="00516D9C"/>
    <w:rsid w:val="00517D2F"/>
    <w:rsid w:val="005374E9"/>
    <w:rsid w:val="00537F40"/>
    <w:rsid w:val="00545657"/>
    <w:rsid w:val="00550195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5DBD"/>
    <w:rsid w:val="005B73D7"/>
    <w:rsid w:val="005C748A"/>
    <w:rsid w:val="005D34B3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30759"/>
    <w:rsid w:val="0064508B"/>
    <w:rsid w:val="00661987"/>
    <w:rsid w:val="00661E40"/>
    <w:rsid w:val="006623D4"/>
    <w:rsid w:val="00663376"/>
    <w:rsid w:val="00665293"/>
    <w:rsid w:val="00671F8D"/>
    <w:rsid w:val="0067483C"/>
    <w:rsid w:val="00675BD6"/>
    <w:rsid w:val="006941FB"/>
    <w:rsid w:val="00696CE4"/>
    <w:rsid w:val="006A212D"/>
    <w:rsid w:val="006A606E"/>
    <w:rsid w:val="006A798F"/>
    <w:rsid w:val="006B21AE"/>
    <w:rsid w:val="006B53E9"/>
    <w:rsid w:val="006C1B48"/>
    <w:rsid w:val="006D4E8F"/>
    <w:rsid w:val="006E61E4"/>
    <w:rsid w:val="006F0E0D"/>
    <w:rsid w:val="006F64E2"/>
    <w:rsid w:val="00705782"/>
    <w:rsid w:val="00714606"/>
    <w:rsid w:val="00721154"/>
    <w:rsid w:val="00723D0F"/>
    <w:rsid w:val="00726C27"/>
    <w:rsid w:val="00734DE6"/>
    <w:rsid w:val="00736003"/>
    <w:rsid w:val="0073628A"/>
    <w:rsid w:val="00740A24"/>
    <w:rsid w:val="00755528"/>
    <w:rsid w:val="00760DF6"/>
    <w:rsid w:val="007713AF"/>
    <w:rsid w:val="0077463E"/>
    <w:rsid w:val="007805C1"/>
    <w:rsid w:val="007844AF"/>
    <w:rsid w:val="007858C8"/>
    <w:rsid w:val="00786E11"/>
    <w:rsid w:val="00787E83"/>
    <w:rsid w:val="0079396E"/>
    <w:rsid w:val="00795A95"/>
    <w:rsid w:val="007A3421"/>
    <w:rsid w:val="007B1082"/>
    <w:rsid w:val="007B3706"/>
    <w:rsid w:val="007B7DC8"/>
    <w:rsid w:val="007D3EDB"/>
    <w:rsid w:val="007F027C"/>
    <w:rsid w:val="007F390E"/>
    <w:rsid w:val="008041A4"/>
    <w:rsid w:val="00807568"/>
    <w:rsid w:val="00811989"/>
    <w:rsid w:val="0081537D"/>
    <w:rsid w:val="0082214D"/>
    <w:rsid w:val="0085290F"/>
    <w:rsid w:val="00852A22"/>
    <w:rsid w:val="00854D6C"/>
    <w:rsid w:val="008630AF"/>
    <w:rsid w:val="0086640E"/>
    <w:rsid w:val="0087514B"/>
    <w:rsid w:val="00882C9B"/>
    <w:rsid w:val="00885A43"/>
    <w:rsid w:val="0089004E"/>
    <w:rsid w:val="0089448E"/>
    <w:rsid w:val="00895263"/>
    <w:rsid w:val="008A0F20"/>
    <w:rsid w:val="008A2050"/>
    <w:rsid w:val="008B1BE1"/>
    <w:rsid w:val="008B29E9"/>
    <w:rsid w:val="008B3241"/>
    <w:rsid w:val="008C6C01"/>
    <w:rsid w:val="008D2F77"/>
    <w:rsid w:val="008D6A39"/>
    <w:rsid w:val="008E4C53"/>
    <w:rsid w:val="008E6B35"/>
    <w:rsid w:val="008E797B"/>
    <w:rsid w:val="008E7A02"/>
    <w:rsid w:val="009020C0"/>
    <w:rsid w:val="00914479"/>
    <w:rsid w:val="00920070"/>
    <w:rsid w:val="00924133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813BA"/>
    <w:rsid w:val="00986102"/>
    <w:rsid w:val="009B01E7"/>
    <w:rsid w:val="009B4D52"/>
    <w:rsid w:val="009C04BC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2270"/>
    <w:rsid w:val="00A77B1F"/>
    <w:rsid w:val="00A81553"/>
    <w:rsid w:val="00A82F8B"/>
    <w:rsid w:val="00A849B3"/>
    <w:rsid w:val="00A87D9C"/>
    <w:rsid w:val="00A91A83"/>
    <w:rsid w:val="00A9434F"/>
    <w:rsid w:val="00AA3726"/>
    <w:rsid w:val="00AA45A7"/>
    <w:rsid w:val="00AA79B7"/>
    <w:rsid w:val="00AB4737"/>
    <w:rsid w:val="00AB6F62"/>
    <w:rsid w:val="00AD4263"/>
    <w:rsid w:val="00AE0FEF"/>
    <w:rsid w:val="00AE38F8"/>
    <w:rsid w:val="00AE48B0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36F03"/>
    <w:rsid w:val="00B5032F"/>
    <w:rsid w:val="00B6465B"/>
    <w:rsid w:val="00B72B9B"/>
    <w:rsid w:val="00B72E3D"/>
    <w:rsid w:val="00B75AD7"/>
    <w:rsid w:val="00B75EBD"/>
    <w:rsid w:val="00B87AEE"/>
    <w:rsid w:val="00B9277C"/>
    <w:rsid w:val="00B951CD"/>
    <w:rsid w:val="00B95D80"/>
    <w:rsid w:val="00B9738C"/>
    <w:rsid w:val="00BA0853"/>
    <w:rsid w:val="00BB0243"/>
    <w:rsid w:val="00BD2293"/>
    <w:rsid w:val="00BD763F"/>
    <w:rsid w:val="00BE1704"/>
    <w:rsid w:val="00BE35BD"/>
    <w:rsid w:val="00BF1543"/>
    <w:rsid w:val="00BF19DA"/>
    <w:rsid w:val="00BF19F7"/>
    <w:rsid w:val="00BF6F16"/>
    <w:rsid w:val="00C03B35"/>
    <w:rsid w:val="00C14A4D"/>
    <w:rsid w:val="00C16FAD"/>
    <w:rsid w:val="00C2033F"/>
    <w:rsid w:val="00C3309B"/>
    <w:rsid w:val="00C339FD"/>
    <w:rsid w:val="00C44719"/>
    <w:rsid w:val="00C55332"/>
    <w:rsid w:val="00C60915"/>
    <w:rsid w:val="00C8576F"/>
    <w:rsid w:val="00C860D4"/>
    <w:rsid w:val="00C93C1F"/>
    <w:rsid w:val="00C95BA9"/>
    <w:rsid w:val="00C964C4"/>
    <w:rsid w:val="00CB2050"/>
    <w:rsid w:val="00CB6F0F"/>
    <w:rsid w:val="00CC23C0"/>
    <w:rsid w:val="00CC338F"/>
    <w:rsid w:val="00CC7258"/>
    <w:rsid w:val="00CE6BF3"/>
    <w:rsid w:val="00CF116F"/>
    <w:rsid w:val="00CF34D9"/>
    <w:rsid w:val="00CF4809"/>
    <w:rsid w:val="00CF5AE6"/>
    <w:rsid w:val="00D0163C"/>
    <w:rsid w:val="00D031E8"/>
    <w:rsid w:val="00D14AD1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5055"/>
    <w:rsid w:val="00D456B9"/>
    <w:rsid w:val="00D54853"/>
    <w:rsid w:val="00D6207A"/>
    <w:rsid w:val="00D74F7F"/>
    <w:rsid w:val="00D81D74"/>
    <w:rsid w:val="00D83BAE"/>
    <w:rsid w:val="00D87A78"/>
    <w:rsid w:val="00D90374"/>
    <w:rsid w:val="00D955CC"/>
    <w:rsid w:val="00DA24E5"/>
    <w:rsid w:val="00DA4512"/>
    <w:rsid w:val="00DA647C"/>
    <w:rsid w:val="00DB0251"/>
    <w:rsid w:val="00DB3C84"/>
    <w:rsid w:val="00DC5694"/>
    <w:rsid w:val="00DE28A8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7675"/>
    <w:rsid w:val="00E10313"/>
    <w:rsid w:val="00E112EC"/>
    <w:rsid w:val="00E1488E"/>
    <w:rsid w:val="00E1500B"/>
    <w:rsid w:val="00E17974"/>
    <w:rsid w:val="00E22742"/>
    <w:rsid w:val="00E339C2"/>
    <w:rsid w:val="00E4132B"/>
    <w:rsid w:val="00E46205"/>
    <w:rsid w:val="00E5306B"/>
    <w:rsid w:val="00E62808"/>
    <w:rsid w:val="00E65F68"/>
    <w:rsid w:val="00E724ED"/>
    <w:rsid w:val="00E851AF"/>
    <w:rsid w:val="00E87228"/>
    <w:rsid w:val="00EA7876"/>
    <w:rsid w:val="00EB11FD"/>
    <w:rsid w:val="00EB4587"/>
    <w:rsid w:val="00EB6190"/>
    <w:rsid w:val="00ED3ED7"/>
    <w:rsid w:val="00EE03CA"/>
    <w:rsid w:val="00EE42D4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97ECB"/>
    <w:rsid w:val="00FA1736"/>
    <w:rsid w:val="00FA2174"/>
    <w:rsid w:val="00FA27B0"/>
    <w:rsid w:val="00FA2D19"/>
    <w:rsid w:val="00FB07D4"/>
    <w:rsid w:val="00FB3BF6"/>
    <w:rsid w:val="00FB5B95"/>
    <w:rsid w:val="00FB6E3B"/>
    <w:rsid w:val="00FC1922"/>
    <w:rsid w:val="00FC3A24"/>
    <w:rsid w:val="00FC4D00"/>
    <w:rsid w:val="00FC51C5"/>
    <w:rsid w:val="00FD5CF3"/>
    <w:rsid w:val="00FE1175"/>
    <w:rsid w:val="00FE153A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2FC60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514B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2020-06-29T10:54:00Z</cp:lastPrinted>
  <dcterms:created xsi:type="dcterms:W3CDTF">2025-02-12T07:37:00Z</dcterms:created>
  <dcterms:modified xsi:type="dcterms:W3CDTF">2025-02-12T07:37:00Z</dcterms:modified>
</cp:coreProperties>
</file>